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3C6AF1">
      <w:pPr>
        <w:widowControl/>
        <w:spacing w:line="360" w:lineRule="auto"/>
        <w:rPr>
          <w:rFonts w:hint="eastAsia" w:hAnsi="宋体" w:cs="宋体"/>
          <w:b/>
          <w:bCs/>
          <w:color w:val="000000"/>
          <w:kern w:val="2"/>
          <w:sz w:val="24"/>
          <w:szCs w:val="24"/>
          <w:highlight w:val="none"/>
        </w:rPr>
      </w:pPr>
      <w:bookmarkStart w:id="0" w:name="_Toc32353"/>
      <w:r>
        <w:rPr>
          <w:rFonts w:hint="eastAsia" w:hAnsi="宋体" w:cs="宋体"/>
          <w:b/>
          <w:bCs/>
          <w:color w:val="000000"/>
          <w:kern w:val="2"/>
          <w:sz w:val="24"/>
          <w:szCs w:val="24"/>
          <w:highlight w:val="none"/>
        </w:rPr>
        <w:t>一、项目概况</w:t>
      </w:r>
    </w:p>
    <w:p w14:paraId="1E5BBA99">
      <w:pPr>
        <w:pStyle w:val="17"/>
        <w:ind w:firstLine="480" w:firstLineChars="200"/>
        <w:rPr>
          <w:rFonts w:hint="eastAsia"/>
          <w:color w:val="000000"/>
          <w:highlight w:val="none"/>
        </w:rPr>
      </w:pPr>
      <w:r>
        <w:rPr>
          <w:rFonts w:hint="eastAsia" w:hAnsi="宋体"/>
          <w:color w:val="000000"/>
          <w:highlight w:val="none"/>
        </w:rPr>
        <w:t>成都大学附属医院拟采购</w:t>
      </w:r>
      <w:r>
        <w:rPr>
          <w:rFonts w:hint="eastAsia" w:hAnsi="宋体"/>
          <w:color w:val="000000"/>
          <w:highlight w:val="none"/>
          <w:lang w:eastAsia="zh-CN"/>
        </w:rPr>
        <w:t>护士节慰问品</w:t>
      </w:r>
      <w:r>
        <w:rPr>
          <w:rFonts w:hint="eastAsia" w:hAnsi="宋体"/>
          <w:color w:val="000000"/>
          <w:highlight w:val="none"/>
        </w:rPr>
        <w:t>，数量约</w:t>
      </w:r>
      <w:r>
        <w:rPr>
          <w:rFonts w:hint="eastAsia" w:hAnsi="宋体"/>
          <w:color w:val="000000"/>
          <w:highlight w:val="none"/>
          <w:lang w:val="en-US" w:eastAsia="zh-CN"/>
        </w:rPr>
        <w:t>750床</w:t>
      </w:r>
      <w:r>
        <w:rPr>
          <w:rFonts w:hint="eastAsia" w:hAnsi="宋体"/>
          <w:color w:val="000000"/>
          <w:highlight w:val="none"/>
        </w:rPr>
        <w:t>。</w:t>
      </w:r>
    </w:p>
    <w:p w14:paraId="2CB533EF">
      <w:pPr>
        <w:widowControl/>
        <w:spacing w:line="360" w:lineRule="auto"/>
        <w:rPr>
          <w:rFonts w:hint="eastAsia" w:hAnsi="宋体" w:cs="宋体"/>
          <w:b/>
          <w:bCs/>
          <w:color w:val="000000"/>
          <w:kern w:val="2"/>
          <w:sz w:val="24"/>
          <w:szCs w:val="24"/>
          <w:highlight w:val="none"/>
        </w:rPr>
      </w:pPr>
      <w:r>
        <w:rPr>
          <w:rFonts w:hint="eastAsia" w:hAnsi="宋体" w:cs="宋体"/>
          <w:b/>
          <w:bCs/>
          <w:color w:val="000000"/>
          <w:kern w:val="2"/>
          <w:sz w:val="24"/>
          <w:szCs w:val="24"/>
          <w:highlight w:val="none"/>
        </w:rPr>
        <w:t>★二、采购清单及技术要求</w:t>
      </w:r>
    </w:p>
    <w:bookmarkEnd w:id="0"/>
    <w:tbl>
      <w:tblPr>
        <w:tblStyle w:val="14"/>
        <w:tblW w:w="49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5"/>
        <w:gridCol w:w="1035"/>
        <w:gridCol w:w="5498"/>
        <w:gridCol w:w="620"/>
        <w:gridCol w:w="651"/>
      </w:tblGrid>
      <w:tr w14:paraId="1E82E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370" w:type="pct"/>
            <w:noWrap w:val="0"/>
            <w:vAlign w:val="center"/>
          </w:tcPr>
          <w:p w14:paraId="3DA5A6B8">
            <w:pPr>
              <w:pStyle w:val="12"/>
              <w:snapToGrid w:val="0"/>
              <w:spacing w:line="360" w:lineRule="auto"/>
              <w:ind w:firstLine="0"/>
              <w:jc w:val="center"/>
              <w:rPr>
                <w:rFonts w:hint="eastAsia" w:hAnsi="宋体" w:cs="宋体"/>
                <w:b/>
                <w:bCs/>
                <w:color w:val="000000"/>
                <w:sz w:val="24"/>
                <w:szCs w:val="24"/>
                <w:highlight w:val="none"/>
              </w:rPr>
            </w:pPr>
            <w:r>
              <w:rPr>
                <w:rFonts w:hint="eastAsia" w:hAnsi="宋体" w:cs="宋体"/>
                <w:b/>
                <w:bCs/>
                <w:color w:val="000000"/>
                <w:sz w:val="24"/>
                <w:szCs w:val="24"/>
                <w:highlight w:val="none"/>
              </w:rPr>
              <w:t>序号</w:t>
            </w:r>
          </w:p>
        </w:tc>
        <w:tc>
          <w:tcPr>
            <w:tcW w:w="613" w:type="pct"/>
            <w:noWrap w:val="0"/>
            <w:vAlign w:val="center"/>
          </w:tcPr>
          <w:p w14:paraId="0F79677F">
            <w:pPr>
              <w:pStyle w:val="12"/>
              <w:snapToGrid w:val="0"/>
              <w:spacing w:line="360" w:lineRule="auto"/>
              <w:ind w:firstLine="0"/>
              <w:jc w:val="center"/>
              <w:rPr>
                <w:rFonts w:hint="eastAsia" w:hAnsi="宋体" w:cs="宋体"/>
                <w:b/>
                <w:bCs/>
                <w:color w:val="000000"/>
                <w:sz w:val="24"/>
                <w:szCs w:val="24"/>
                <w:highlight w:val="none"/>
              </w:rPr>
            </w:pPr>
            <w:r>
              <w:rPr>
                <w:rFonts w:hint="eastAsia" w:hAnsi="宋体" w:cs="宋体"/>
                <w:b/>
                <w:bCs/>
                <w:color w:val="000000"/>
                <w:sz w:val="24"/>
                <w:szCs w:val="24"/>
                <w:highlight w:val="none"/>
              </w:rPr>
              <w:t>产品名称</w:t>
            </w:r>
          </w:p>
        </w:tc>
        <w:tc>
          <w:tcPr>
            <w:tcW w:w="3261" w:type="pct"/>
            <w:noWrap w:val="0"/>
            <w:vAlign w:val="top"/>
          </w:tcPr>
          <w:p w14:paraId="3FBB2939">
            <w:pPr>
              <w:pStyle w:val="12"/>
              <w:snapToGrid w:val="0"/>
              <w:spacing w:line="360" w:lineRule="auto"/>
              <w:rPr>
                <w:rFonts w:hint="eastAsia" w:hAnsi="宋体" w:cs="宋体"/>
                <w:b/>
                <w:bCs/>
                <w:color w:val="000000"/>
                <w:sz w:val="24"/>
                <w:szCs w:val="24"/>
                <w:highlight w:val="none"/>
              </w:rPr>
            </w:pPr>
            <w:r>
              <w:rPr>
                <w:rFonts w:hint="eastAsia" w:hAnsi="宋体" w:cs="宋体"/>
                <w:b/>
                <w:bCs/>
                <w:color w:val="000000"/>
                <w:sz w:val="24"/>
                <w:szCs w:val="24"/>
                <w:highlight w:val="none"/>
              </w:rPr>
              <w:t>技术参数及款式</w:t>
            </w:r>
          </w:p>
        </w:tc>
        <w:tc>
          <w:tcPr>
            <w:tcW w:w="367" w:type="pct"/>
            <w:noWrap w:val="0"/>
            <w:vAlign w:val="center"/>
          </w:tcPr>
          <w:p w14:paraId="2C2CA492">
            <w:pPr>
              <w:pStyle w:val="12"/>
              <w:snapToGrid w:val="0"/>
              <w:spacing w:line="360" w:lineRule="auto"/>
              <w:ind w:firstLine="0"/>
              <w:jc w:val="center"/>
              <w:rPr>
                <w:rFonts w:hint="eastAsia" w:hAnsi="宋体" w:cs="宋体"/>
                <w:b/>
                <w:bCs/>
                <w:color w:val="000000"/>
                <w:sz w:val="24"/>
                <w:szCs w:val="24"/>
                <w:highlight w:val="none"/>
              </w:rPr>
            </w:pPr>
            <w:r>
              <w:rPr>
                <w:rFonts w:hint="eastAsia" w:hAnsi="宋体" w:cs="宋体"/>
                <w:b/>
                <w:bCs/>
                <w:color w:val="000000"/>
                <w:sz w:val="24"/>
                <w:szCs w:val="24"/>
                <w:highlight w:val="none"/>
              </w:rPr>
              <w:t>数量</w:t>
            </w:r>
          </w:p>
        </w:tc>
        <w:tc>
          <w:tcPr>
            <w:tcW w:w="386" w:type="pct"/>
            <w:noWrap w:val="0"/>
            <w:vAlign w:val="center"/>
          </w:tcPr>
          <w:p w14:paraId="78D5060C">
            <w:pPr>
              <w:pStyle w:val="12"/>
              <w:snapToGrid w:val="0"/>
              <w:spacing w:line="360" w:lineRule="auto"/>
              <w:ind w:firstLine="0"/>
              <w:jc w:val="center"/>
              <w:rPr>
                <w:rFonts w:hint="eastAsia" w:hAnsi="宋体" w:cs="宋体"/>
                <w:b/>
                <w:bCs/>
                <w:color w:val="000000"/>
                <w:sz w:val="24"/>
                <w:szCs w:val="24"/>
                <w:highlight w:val="none"/>
              </w:rPr>
            </w:pPr>
            <w:r>
              <w:rPr>
                <w:rFonts w:hint="eastAsia" w:hAnsi="宋体" w:cs="宋体"/>
                <w:b/>
                <w:bCs/>
                <w:color w:val="000000"/>
                <w:sz w:val="24"/>
                <w:szCs w:val="24"/>
                <w:highlight w:val="none"/>
              </w:rPr>
              <w:t>单位</w:t>
            </w:r>
          </w:p>
        </w:tc>
      </w:tr>
      <w:tr w14:paraId="78E99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0" w:hRule="atLeast"/>
          <w:jc w:val="center"/>
        </w:trPr>
        <w:tc>
          <w:tcPr>
            <w:tcW w:w="370" w:type="pct"/>
            <w:noWrap w:val="0"/>
            <w:vAlign w:val="center"/>
          </w:tcPr>
          <w:p w14:paraId="5F19F7A7">
            <w:pPr>
              <w:pStyle w:val="12"/>
              <w:snapToGrid w:val="0"/>
              <w:spacing w:line="360" w:lineRule="auto"/>
              <w:ind w:firstLine="0"/>
              <w:jc w:val="both"/>
              <w:rPr>
                <w:rFonts w:hint="eastAsia" w:hAnsi="宋体" w:cs="宋体"/>
                <w:color w:val="000000"/>
                <w:sz w:val="24"/>
                <w:szCs w:val="24"/>
                <w:highlight w:val="none"/>
              </w:rPr>
            </w:pPr>
            <w:r>
              <w:rPr>
                <w:rFonts w:hint="eastAsia" w:hAnsi="宋体" w:cs="宋体"/>
                <w:color w:val="000000"/>
                <w:sz w:val="24"/>
                <w:szCs w:val="24"/>
                <w:highlight w:val="none"/>
              </w:rPr>
              <w:t>1</w:t>
            </w:r>
          </w:p>
        </w:tc>
        <w:tc>
          <w:tcPr>
            <w:tcW w:w="613" w:type="pct"/>
            <w:noWrap w:val="0"/>
            <w:vAlign w:val="center"/>
          </w:tcPr>
          <w:p w14:paraId="44E20CD6">
            <w:pPr>
              <w:pStyle w:val="12"/>
              <w:snapToGrid w:val="0"/>
              <w:spacing w:line="360" w:lineRule="auto"/>
              <w:ind w:firstLine="0"/>
              <w:jc w:val="center"/>
              <w:rPr>
                <w:rFonts w:hint="eastAsia" w:hAnsi="宋体" w:cs="宋体"/>
                <w:color w:val="000000"/>
                <w:sz w:val="24"/>
                <w:szCs w:val="24"/>
                <w:highlight w:val="none"/>
              </w:rPr>
            </w:pPr>
            <w:r>
              <w:rPr>
                <w:rFonts w:hint="eastAsia" w:hAnsi="宋体" w:cs="宋体"/>
                <w:color w:val="000000"/>
                <w:sz w:val="24"/>
                <w:szCs w:val="24"/>
                <w:highlight w:val="none"/>
              </w:rPr>
              <w:t>蚕丝被</w:t>
            </w:r>
          </w:p>
        </w:tc>
        <w:tc>
          <w:tcPr>
            <w:tcW w:w="3261" w:type="pct"/>
            <w:noWrap w:val="0"/>
            <w:vAlign w:val="top"/>
          </w:tcPr>
          <w:p w14:paraId="7BDCFD32">
            <w:pPr>
              <w:pStyle w:val="12"/>
              <w:snapToGrid w:val="0"/>
              <w:spacing w:line="360" w:lineRule="auto"/>
              <w:ind w:firstLine="0"/>
              <w:rPr>
                <w:rFonts w:hint="eastAsia" w:hAnsi="宋体" w:cs="宋体"/>
                <w:color w:val="000000"/>
                <w:sz w:val="24"/>
                <w:szCs w:val="24"/>
                <w:highlight w:val="none"/>
                <w:lang w:eastAsia="zh-CN"/>
              </w:rPr>
            </w:pPr>
            <w:r>
              <w:rPr>
                <w:rFonts w:hint="eastAsia" w:hAnsi="宋体" w:cs="宋体"/>
                <w:color w:val="000000"/>
                <w:sz w:val="24"/>
                <w:szCs w:val="24"/>
                <w:highlight w:val="none"/>
                <w:lang w:eastAsia="zh-CN"/>
              </w:rPr>
              <w:t>▲1、产品净重：2-3斤；</w:t>
            </w:r>
          </w:p>
          <w:p w14:paraId="660A8D15">
            <w:pPr>
              <w:pStyle w:val="12"/>
              <w:snapToGrid w:val="0"/>
              <w:spacing w:line="360" w:lineRule="auto"/>
              <w:ind w:firstLine="0"/>
              <w:rPr>
                <w:rFonts w:hint="eastAsia" w:hAnsi="宋体" w:cs="宋体"/>
                <w:color w:val="000000"/>
                <w:sz w:val="24"/>
                <w:szCs w:val="24"/>
                <w:highlight w:val="none"/>
                <w:lang w:eastAsia="zh-CN"/>
              </w:rPr>
            </w:pPr>
            <w:r>
              <w:rPr>
                <w:rFonts w:hint="eastAsia" w:hAnsi="宋体" w:cs="宋体"/>
                <w:color w:val="000000"/>
                <w:sz w:val="24"/>
                <w:szCs w:val="24"/>
                <w:highlight w:val="none"/>
                <w:lang w:eastAsia="zh-CN"/>
              </w:rPr>
              <w:t>▲2、面料成分：涤纶；</w:t>
            </w:r>
          </w:p>
          <w:p w14:paraId="62DBE978">
            <w:pPr>
              <w:pStyle w:val="12"/>
              <w:snapToGrid w:val="0"/>
              <w:spacing w:line="360" w:lineRule="auto"/>
              <w:ind w:firstLine="0"/>
              <w:rPr>
                <w:rFonts w:hint="eastAsia" w:hAnsi="宋体" w:cs="宋体"/>
                <w:color w:val="000000"/>
                <w:sz w:val="24"/>
                <w:szCs w:val="24"/>
                <w:highlight w:val="none"/>
                <w:lang w:eastAsia="zh-CN"/>
              </w:rPr>
            </w:pPr>
            <w:r>
              <w:rPr>
                <w:rFonts w:hint="eastAsia" w:hAnsi="宋体" w:cs="宋体"/>
                <w:color w:val="000000"/>
                <w:sz w:val="24"/>
                <w:szCs w:val="24"/>
                <w:highlight w:val="none"/>
                <w:lang w:eastAsia="zh-CN"/>
              </w:rPr>
              <w:t>▲3、填充物成分：柞蚕丝；</w:t>
            </w:r>
          </w:p>
          <w:p w14:paraId="6642D413">
            <w:pPr>
              <w:pStyle w:val="12"/>
              <w:snapToGrid w:val="0"/>
              <w:spacing w:line="360" w:lineRule="auto"/>
              <w:ind w:firstLine="0"/>
              <w:rPr>
                <w:rFonts w:hint="eastAsia" w:hAnsi="宋体" w:cs="宋体"/>
                <w:color w:val="000000"/>
                <w:sz w:val="24"/>
                <w:szCs w:val="24"/>
                <w:highlight w:val="none"/>
                <w:lang w:eastAsia="zh-CN"/>
              </w:rPr>
            </w:pP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4</w:t>
            </w:r>
            <w:r>
              <w:rPr>
                <w:rFonts w:hint="eastAsia" w:hAnsi="宋体" w:cs="宋体"/>
                <w:color w:val="000000"/>
                <w:sz w:val="24"/>
                <w:szCs w:val="24"/>
                <w:highlight w:val="none"/>
                <w:lang w:eastAsia="zh-CN"/>
              </w:rPr>
              <w:t>、适用季节：四季通用；</w:t>
            </w:r>
          </w:p>
          <w:p w14:paraId="54D2F8A2">
            <w:pPr>
              <w:pStyle w:val="12"/>
              <w:snapToGrid w:val="0"/>
              <w:spacing w:line="360" w:lineRule="auto"/>
              <w:ind w:firstLine="0"/>
              <w:rPr>
                <w:rFonts w:hint="eastAsia" w:hAnsi="宋体" w:cs="宋体"/>
                <w:color w:val="000000"/>
                <w:sz w:val="24"/>
                <w:szCs w:val="24"/>
                <w:highlight w:val="none"/>
              </w:rPr>
            </w:pP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5</w:t>
            </w:r>
            <w:r>
              <w:rPr>
                <w:rFonts w:hint="eastAsia" w:hAnsi="宋体" w:cs="宋体"/>
                <w:color w:val="000000"/>
                <w:sz w:val="24"/>
                <w:szCs w:val="24"/>
                <w:highlight w:val="none"/>
                <w:lang w:eastAsia="zh-CN"/>
              </w:rPr>
              <w:t>、尺寸：≥200cm*230cm。</w:t>
            </w:r>
            <w:r>
              <w:rPr>
                <w:rFonts w:hint="eastAsia" w:hAnsi="宋体" w:cs="宋体"/>
                <w:color w:val="000000"/>
                <w:sz w:val="24"/>
                <w:szCs w:val="24"/>
                <w:highlight w:val="none"/>
              </w:rPr>
              <w:t xml:space="preserve"> </w:t>
            </w:r>
          </w:p>
          <w:p w14:paraId="4CE4D635">
            <w:pPr>
              <w:pStyle w:val="12"/>
              <w:snapToGrid w:val="0"/>
              <w:spacing w:line="360" w:lineRule="auto"/>
              <w:ind w:firstLine="0"/>
              <w:rPr>
                <w:rFonts w:hint="eastAsia" w:hAnsi="宋体" w:cs="宋体"/>
                <w:color w:val="000000"/>
                <w:sz w:val="24"/>
                <w:szCs w:val="24"/>
                <w:highlight w:val="none"/>
              </w:rPr>
            </w:pP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6、</w:t>
            </w:r>
            <w:r>
              <w:rPr>
                <w:rFonts w:hint="eastAsia" w:hAnsi="宋体" w:cs="宋体"/>
                <w:color w:val="000000"/>
                <w:sz w:val="24"/>
                <w:szCs w:val="24"/>
                <w:highlight w:val="none"/>
                <w:lang w:eastAsia="zh-CN"/>
              </w:rPr>
              <w:t>符合</w:t>
            </w:r>
            <w:r>
              <w:rPr>
                <w:rFonts w:hint="eastAsia" w:hAnsi="宋体" w:cs="宋体"/>
                <w:color w:val="000000"/>
                <w:sz w:val="24"/>
                <w:szCs w:val="24"/>
                <w:highlight w:val="none"/>
              </w:rPr>
              <w:t>GB/T 24252-2019</w:t>
            </w:r>
            <w:r>
              <w:rPr>
                <w:rFonts w:hint="eastAsia" w:hAnsi="宋体" w:cs="宋体"/>
                <w:color w:val="000000"/>
                <w:sz w:val="24"/>
                <w:szCs w:val="24"/>
                <w:highlight w:val="none"/>
                <w:lang w:eastAsia="zh-CN"/>
              </w:rPr>
              <w:t>《</w:t>
            </w:r>
            <w:r>
              <w:rPr>
                <w:rFonts w:hint="eastAsia" w:hAnsi="宋体" w:cs="宋体"/>
                <w:color w:val="000000"/>
                <w:sz w:val="24"/>
                <w:szCs w:val="24"/>
                <w:highlight w:val="none"/>
              </w:rPr>
              <w:t>蚕丝被</w:t>
            </w:r>
            <w:r>
              <w:rPr>
                <w:rFonts w:hint="eastAsia" w:hAnsi="宋体" w:cs="宋体"/>
                <w:color w:val="000000"/>
                <w:sz w:val="24"/>
                <w:szCs w:val="24"/>
                <w:highlight w:val="none"/>
                <w:lang w:eastAsia="zh-CN"/>
              </w:rPr>
              <w:t>》优等品质量等级要求。</w:t>
            </w:r>
            <w:r>
              <w:rPr>
                <w:rFonts w:hint="eastAsia" w:hAnsi="宋体" w:cs="宋体"/>
                <w:color w:val="000000"/>
                <w:sz w:val="24"/>
                <w:szCs w:val="24"/>
                <w:highlight w:val="none"/>
              </w:rPr>
              <w:br w:type="textWrapping"/>
            </w: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7</w:t>
            </w:r>
            <w:r>
              <w:rPr>
                <w:rFonts w:hint="eastAsia" w:hAnsi="宋体" w:cs="宋体"/>
                <w:color w:val="000000"/>
                <w:sz w:val="24"/>
                <w:szCs w:val="24"/>
                <w:highlight w:val="none"/>
                <w:lang w:eastAsia="zh-CN"/>
              </w:rPr>
              <w:t>、埴充物、胎套的安全性能</w:t>
            </w:r>
            <w:r>
              <w:rPr>
                <w:rFonts w:hint="eastAsia" w:hAnsi="宋体" w:cs="宋体"/>
                <w:color w:val="000000"/>
                <w:sz w:val="24"/>
                <w:szCs w:val="24"/>
                <w:highlight w:val="none"/>
              </w:rPr>
              <w:t>符合GB18401—2010</w:t>
            </w:r>
            <w:r>
              <w:rPr>
                <w:rFonts w:hint="eastAsia" w:hAnsi="宋体" w:cs="宋体"/>
                <w:color w:val="000000"/>
                <w:sz w:val="24"/>
                <w:szCs w:val="24"/>
                <w:highlight w:val="none"/>
                <w:lang w:eastAsia="zh-CN"/>
              </w:rPr>
              <w:t>《</w:t>
            </w:r>
            <w:r>
              <w:rPr>
                <w:rFonts w:hint="eastAsia" w:hAnsi="宋体" w:cs="宋体"/>
                <w:color w:val="000000"/>
                <w:sz w:val="24"/>
                <w:szCs w:val="24"/>
                <w:highlight w:val="none"/>
              </w:rPr>
              <w:t>国家纺织产品基本安全技术规范</w:t>
            </w:r>
            <w:r>
              <w:rPr>
                <w:rFonts w:hint="eastAsia" w:hAnsi="宋体" w:cs="宋体"/>
                <w:color w:val="000000"/>
                <w:sz w:val="24"/>
                <w:szCs w:val="24"/>
                <w:highlight w:val="none"/>
                <w:lang w:eastAsia="zh-CN"/>
              </w:rPr>
              <w:t>》</w:t>
            </w:r>
            <w:r>
              <w:rPr>
                <w:rFonts w:hint="eastAsia" w:hAnsi="宋体" w:cs="宋体"/>
                <w:color w:val="000000"/>
                <w:sz w:val="24"/>
                <w:szCs w:val="24"/>
                <w:highlight w:val="none"/>
              </w:rPr>
              <w:t>B类要求。</w:t>
            </w:r>
          </w:p>
          <w:p w14:paraId="4B66EB2C">
            <w:pPr>
              <w:pStyle w:val="12"/>
              <w:snapToGrid w:val="0"/>
              <w:spacing w:line="360" w:lineRule="auto"/>
              <w:ind w:firstLine="0"/>
              <w:rPr>
                <w:rFonts w:hint="eastAsia" w:hAnsi="宋体" w:eastAsia="宋体" w:cs="宋体"/>
                <w:color w:val="000000"/>
                <w:sz w:val="24"/>
                <w:szCs w:val="24"/>
                <w:highlight w:val="none"/>
                <w:lang w:eastAsia="zh-CN"/>
              </w:rPr>
            </w:pPr>
            <w:r>
              <w:rPr>
                <w:rFonts w:hint="eastAsia" w:hAnsi="宋体" w:cs="宋体"/>
                <w:b/>
                <w:bCs/>
                <w:color w:val="000000"/>
                <w:sz w:val="24"/>
                <w:szCs w:val="24"/>
                <w:highlight w:val="none"/>
              </w:rPr>
              <w:t>注：上述所有技术参数需提供具有CMA认证第三方检测机构出具的检测报告扫描件，并加盖投标人公章。参数</w:t>
            </w:r>
            <w:r>
              <w:rPr>
                <w:rFonts w:hint="eastAsia" w:hAnsi="宋体" w:cs="宋体"/>
                <w:b/>
                <w:bCs/>
                <w:color w:val="000000"/>
                <w:sz w:val="24"/>
                <w:szCs w:val="24"/>
                <w:highlight w:val="none"/>
                <w:lang w:eastAsia="zh-CN"/>
              </w:rPr>
              <w:t>要求</w:t>
            </w:r>
            <w:r>
              <w:rPr>
                <w:rFonts w:hint="eastAsia" w:hAnsi="宋体" w:cs="宋体"/>
                <w:b/>
                <w:bCs/>
                <w:color w:val="000000"/>
                <w:sz w:val="24"/>
                <w:szCs w:val="24"/>
                <w:highlight w:val="none"/>
              </w:rPr>
              <w:t>里引用的产品标准、方法标准和规范在招标和履约过程中如果有更新</w:t>
            </w:r>
            <w:r>
              <w:rPr>
                <w:rFonts w:hint="eastAsia" w:hAnsi="宋体" w:cs="宋体"/>
                <w:b/>
                <w:bCs/>
                <w:color w:val="000000"/>
                <w:sz w:val="24"/>
                <w:szCs w:val="24"/>
                <w:highlight w:val="none"/>
                <w:lang w:eastAsia="zh-CN"/>
              </w:rPr>
              <w:t>，</w:t>
            </w:r>
            <w:r>
              <w:rPr>
                <w:rFonts w:hint="eastAsia" w:hAnsi="宋体" w:cs="宋体"/>
                <w:b/>
                <w:bCs/>
                <w:color w:val="000000"/>
                <w:sz w:val="24"/>
                <w:szCs w:val="24"/>
                <w:highlight w:val="none"/>
              </w:rPr>
              <w:t>以最新有效的标准和规范为准</w:t>
            </w:r>
            <w:r>
              <w:rPr>
                <w:rFonts w:hint="eastAsia" w:hAnsi="宋体" w:cs="宋体"/>
                <w:b/>
                <w:bCs/>
                <w:color w:val="000000"/>
                <w:sz w:val="24"/>
                <w:szCs w:val="24"/>
                <w:highlight w:val="none"/>
                <w:lang w:eastAsia="zh-CN"/>
              </w:rPr>
              <w:t>。</w:t>
            </w:r>
          </w:p>
        </w:tc>
        <w:tc>
          <w:tcPr>
            <w:tcW w:w="367" w:type="pct"/>
            <w:noWrap w:val="0"/>
            <w:vAlign w:val="center"/>
          </w:tcPr>
          <w:p w14:paraId="40658098">
            <w:pPr>
              <w:pStyle w:val="12"/>
              <w:snapToGrid w:val="0"/>
              <w:spacing w:line="360" w:lineRule="auto"/>
              <w:ind w:firstLine="0"/>
              <w:jc w:val="center"/>
              <w:rPr>
                <w:rFonts w:hint="default" w:hAnsi="宋体" w:eastAsia="宋体" w:cs="宋体"/>
                <w:color w:val="000000"/>
                <w:sz w:val="24"/>
                <w:szCs w:val="24"/>
                <w:highlight w:val="none"/>
                <w:lang w:val="en-US" w:eastAsia="zh-CN"/>
              </w:rPr>
            </w:pPr>
            <w:r>
              <w:rPr>
                <w:rFonts w:hint="eastAsia" w:hAnsi="宋体" w:cs="宋体"/>
                <w:color w:val="000000"/>
                <w:sz w:val="24"/>
                <w:szCs w:val="24"/>
                <w:highlight w:val="none"/>
                <w:lang w:val="en-US" w:eastAsia="zh-CN"/>
              </w:rPr>
              <w:t>750</w:t>
            </w:r>
          </w:p>
        </w:tc>
        <w:tc>
          <w:tcPr>
            <w:tcW w:w="386" w:type="pct"/>
            <w:noWrap w:val="0"/>
            <w:vAlign w:val="center"/>
          </w:tcPr>
          <w:p w14:paraId="05C5C66A">
            <w:pPr>
              <w:pStyle w:val="12"/>
              <w:snapToGrid w:val="0"/>
              <w:spacing w:line="360" w:lineRule="auto"/>
              <w:ind w:firstLine="0"/>
              <w:jc w:val="center"/>
              <w:rPr>
                <w:rFonts w:hint="eastAsia" w:hAnsi="宋体" w:eastAsia="宋体" w:cs="宋体"/>
                <w:color w:val="000000"/>
                <w:sz w:val="24"/>
                <w:szCs w:val="24"/>
                <w:highlight w:val="none"/>
                <w:lang w:eastAsia="zh-CN"/>
              </w:rPr>
            </w:pPr>
            <w:r>
              <w:rPr>
                <w:rFonts w:hint="eastAsia" w:hAnsi="宋体" w:cs="宋体"/>
                <w:color w:val="000000"/>
                <w:sz w:val="24"/>
                <w:szCs w:val="24"/>
                <w:highlight w:val="none"/>
                <w:lang w:val="en-US" w:eastAsia="zh-CN"/>
              </w:rPr>
              <w:t>床</w:t>
            </w:r>
          </w:p>
        </w:tc>
      </w:tr>
    </w:tbl>
    <w:p w14:paraId="126DD88D">
      <w:pPr>
        <w:snapToGrid w:val="0"/>
        <w:spacing w:line="360" w:lineRule="auto"/>
        <w:rPr>
          <w:rFonts w:hAnsi="宋体" w:cs="宋体"/>
          <w:b/>
          <w:bCs/>
          <w:color w:val="000000"/>
          <w:kern w:val="2"/>
          <w:sz w:val="24"/>
          <w:szCs w:val="24"/>
          <w:highlight w:val="none"/>
        </w:rPr>
      </w:pPr>
      <w:r>
        <w:rPr>
          <w:rFonts w:hint="eastAsia" w:hAnsi="宋体" w:cs="宋体"/>
          <w:b/>
          <w:bCs/>
          <w:color w:val="000000"/>
          <w:kern w:val="2"/>
          <w:sz w:val="24"/>
          <w:szCs w:val="24"/>
          <w:highlight w:val="none"/>
        </w:rPr>
        <w:t>注：以上带“★”为实质性要求，不满足做无效</w:t>
      </w:r>
      <w:r>
        <w:rPr>
          <w:rFonts w:hint="eastAsia" w:hAnsi="宋体" w:cs="宋体"/>
          <w:b/>
          <w:bCs/>
          <w:color w:val="000000"/>
          <w:kern w:val="2"/>
          <w:sz w:val="24"/>
          <w:szCs w:val="24"/>
          <w:highlight w:val="none"/>
          <w:lang w:eastAsia="zh-CN"/>
        </w:rPr>
        <w:t>公开比选</w:t>
      </w:r>
      <w:r>
        <w:rPr>
          <w:rFonts w:hint="eastAsia" w:hAnsi="宋体" w:cs="宋体"/>
          <w:b/>
          <w:bCs/>
          <w:color w:val="000000"/>
          <w:kern w:val="2"/>
          <w:sz w:val="24"/>
          <w:szCs w:val="24"/>
          <w:highlight w:val="none"/>
        </w:rPr>
        <w:t>。</w:t>
      </w:r>
    </w:p>
    <w:p w14:paraId="4799147B">
      <w:pPr>
        <w:numPr>
          <w:ilvl w:val="0"/>
          <w:numId w:val="0"/>
        </w:numPr>
        <w:snapToGrid w:val="0"/>
        <w:spacing w:line="360" w:lineRule="auto"/>
        <w:rPr>
          <w:rFonts w:hint="eastAsia" w:hAnsi="宋体" w:cs="宋体"/>
          <w:b/>
          <w:bCs/>
          <w:color w:val="000000"/>
          <w:kern w:val="2"/>
          <w:sz w:val="24"/>
          <w:szCs w:val="24"/>
          <w:highlight w:val="none"/>
          <w:lang w:val="en-US" w:eastAsia="zh-CN"/>
        </w:rPr>
      </w:pPr>
      <w:r>
        <w:rPr>
          <w:rFonts w:hint="eastAsia" w:ascii="宋体" w:hAnsi="宋体" w:cs="宋体"/>
          <w:b/>
          <w:bCs/>
          <w:color w:val="000000"/>
          <w:kern w:val="2"/>
          <w:sz w:val="24"/>
          <w:szCs w:val="24"/>
          <w:highlight w:val="none"/>
          <w:lang w:val="en-US" w:eastAsia="zh-CN" w:bidi="ar-SA"/>
        </w:rPr>
        <w:t>二、</w:t>
      </w:r>
      <w:r>
        <w:rPr>
          <w:rFonts w:hint="eastAsia" w:hAnsi="宋体" w:cs="宋体"/>
          <w:b/>
          <w:bCs/>
          <w:color w:val="000000"/>
          <w:kern w:val="2"/>
          <w:sz w:val="24"/>
          <w:szCs w:val="24"/>
          <w:highlight w:val="none"/>
          <w:lang w:val="en-US" w:eastAsia="zh-CN"/>
        </w:rPr>
        <w:t>样品要求</w:t>
      </w:r>
    </w:p>
    <w:p w14:paraId="41602C69">
      <w:pPr>
        <w:adjustRightInd w:val="0"/>
        <w:snapToGrid w:val="0"/>
        <w:spacing w:line="360" w:lineRule="auto"/>
        <w:rPr>
          <w:rFonts w:hint="default"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3.1样品清单、以及制作要求</w:t>
      </w:r>
    </w:p>
    <w:tbl>
      <w:tblPr>
        <w:tblStyle w:val="14"/>
        <w:tblW w:w="4998" w:type="pct"/>
        <w:tblInd w:w="0" w:type="dxa"/>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108" w:type="dxa"/>
          <w:bottom w:w="0" w:type="dxa"/>
          <w:right w:w="108" w:type="dxa"/>
        </w:tblCellMar>
      </w:tblPr>
      <w:tblGrid>
        <w:gridCol w:w="1024"/>
        <w:gridCol w:w="1842"/>
        <w:gridCol w:w="1444"/>
        <w:gridCol w:w="1217"/>
        <w:gridCol w:w="2992"/>
      </w:tblGrid>
      <w:tr w14:paraId="4A5EAC7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40" w:hRule="atLeast"/>
        </w:trPr>
        <w:tc>
          <w:tcPr>
            <w:tcW w:w="601" w:type="pct"/>
            <w:tcBorders>
              <w:top w:val="single" w:color="000000" w:sz="4" w:space="0"/>
              <w:left w:val="single" w:color="000000" w:sz="4" w:space="0"/>
              <w:bottom w:val="single" w:color="000000" w:sz="4" w:space="0"/>
              <w:right w:val="single" w:color="000000" w:sz="4" w:space="0"/>
            </w:tcBorders>
            <w:noWrap/>
            <w:vAlign w:val="center"/>
          </w:tcPr>
          <w:p w14:paraId="4F96F002">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序号</w:t>
            </w:r>
          </w:p>
        </w:tc>
        <w:tc>
          <w:tcPr>
            <w:tcW w:w="1081" w:type="pct"/>
            <w:tcBorders>
              <w:top w:val="single" w:color="000000" w:sz="4" w:space="0"/>
              <w:left w:val="single" w:color="000000" w:sz="4" w:space="0"/>
              <w:bottom w:val="single" w:color="000000" w:sz="4" w:space="0"/>
              <w:right w:val="single" w:color="000000" w:sz="4" w:space="0"/>
            </w:tcBorders>
            <w:noWrap/>
            <w:vAlign w:val="center"/>
          </w:tcPr>
          <w:p w14:paraId="559FCD8F">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样品名称</w:t>
            </w:r>
          </w:p>
        </w:tc>
        <w:tc>
          <w:tcPr>
            <w:tcW w:w="847" w:type="pct"/>
            <w:tcBorders>
              <w:top w:val="single" w:color="000000" w:sz="4" w:space="0"/>
              <w:left w:val="single" w:color="000000" w:sz="4" w:space="0"/>
              <w:bottom w:val="single" w:color="000000" w:sz="4" w:space="0"/>
              <w:right w:val="single" w:color="000000" w:sz="4" w:space="0"/>
            </w:tcBorders>
            <w:noWrap/>
            <w:vAlign w:val="center"/>
          </w:tcPr>
          <w:p w14:paraId="0A6C917E">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单位</w:t>
            </w:r>
          </w:p>
        </w:tc>
        <w:tc>
          <w:tcPr>
            <w:tcW w:w="714" w:type="pct"/>
            <w:tcBorders>
              <w:top w:val="single" w:color="000000" w:sz="4" w:space="0"/>
              <w:left w:val="single" w:color="000000" w:sz="4" w:space="0"/>
              <w:bottom w:val="single" w:color="000000" w:sz="4" w:space="0"/>
              <w:right w:val="single" w:color="000000" w:sz="4" w:space="0"/>
            </w:tcBorders>
            <w:noWrap/>
            <w:vAlign w:val="center"/>
          </w:tcPr>
          <w:p w14:paraId="042773F6">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数量</w:t>
            </w:r>
          </w:p>
        </w:tc>
        <w:tc>
          <w:tcPr>
            <w:tcW w:w="1756" w:type="pct"/>
            <w:tcBorders>
              <w:top w:val="single" w:color="000000" w:sz="4" w:space="0"/>
              <w:left w:val="single" w:color="000000" w:sz="4" w:space="0"/>
              <w:bottom w:val="single" w:color="000000" w:sz="4" w:space="0"/>
              <w:right w:val="single" w:color="000000" w:sz="4" w:space="0"/>
            </w:tcBorders>
            <w:noWrap/>
            <w:vAlign w:val="center"/>
          </w:tcPr>
          <w:p w14:paraId="128DDAAF">
            <w:pPr>
              <w:adjustRightInd w:val="0"/>
              <w:snapToGrid w:val="0"/>
              <w:spacing w:line="360" w:lineRule="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备注</w:t>
            </w:r>
          </w:p>
        </w:tc>
      </w:tr>
      <w:tr w14:paraId="4552187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360" w:hRule="atLeast"/>
        </w:trPr>
        <w:tc>
          <w:tcPr>
            <w:tcW w:w="601" w:type="pct"/>
            <w:tcBorders>
              <w:top w:val="single" w:color="000000" w:sz="4" w:space="0"/>
              <w:left w:val="single" w:color="000000" w:sz="4" w:space="0"/>
              <w:bottom w:val="single" w:color="000000" w:sz="4" w:space="0"/>
              <w:right w:val="single" w:color="000000" w:sz="4" w:space="0"/>
            </w:tcBorders>
            <w:noWrap/>
            <w:vAlign w:val="center"/>
          </w:tcPr>
          <w:p w14:paraId="56238806">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1081" w:type="pct"/>
            <w:tcBorders>
              <w:top w:val="single" w:color="000000" w:sz="4" w:space="0"/>
              <w:left w:val="single" w:color="000000" w:sz="4" w:space="0"/>
              <w:bottom w:val="single" w:color="000000" w:sz="4" w:space="0"/>
              <w:right w:val="single" w:color="000000" w:sz="4" w:space="0"/>
            </w:tcBorders>
            <w:noWrap/>
            <w:vAlign w:val="center"/>
          </w:tcPr>
          <w:p w14:paraId="220E9D79">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蚕丝被</w:t>
            </w:r>
          </w:p>
        </w:tc>
        <w:tc>
          <w:tcPr>
            <w:tcW w:w="847" w:type="pct"/>
            <w:tcBorders>
              <w:top w:val="single" w:color="000000" w:sz="4" w:space="0"/>
              <w:left w:val="single" w:color="000000" w:sz="4" w:space="0"/>
              <w:bottom w:val="single" w:color="000000" w:sz="4" w:space="0"/>
              <w:right w:val="single" w:color="000000" w:sz="4" w:space="0"/>
            </w:tcBorders>
            <w:noWrap/>
            <w:vAlign w:val="center"/>
          </w:tcPr>
          <w:p w14:paraId="4951C200">
            <w:pPr>
              <w:adjustRightInd w:val="0"/>
              <w:snapToGrid w:val="0"/>
              <w:spacing w:line="360" w:lineRule="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床</w:t>
            </w:r>
          </w:p>
        </w:tc>
        <w:tc>
          <w:tcPr>
            <w:tcW w:w="714" w:type="pct"/>
            <w:tcBorders>
              <w:top w:val="single" w:color="000000" w:sz="4" w:space="0"/>
              <w:left w:val="single" w:color="000000" w:sz="4" w:space="0"/>
              <w:bottom w:val="single" w:color="000000" w:sz="4" w:space="0"/>
              <w:right w:val="single" w:color="000000" w:sz="4" w:space="0"/>
            </w:tcBorders>
            <w:noWrap/>
            <w:vAlign w:val="center"/>
          </w:tcPr>
          <w:p w14:paraId="0CECF0D2">
            <w:pPr>
              <w:adjustRightInd w:val="0"/>
              <w:snapToGrid w:val="0"/>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1756" w:type="pct"/>
            <w:tcBorders>
              <w:top w:val="single" w:color="000000" w:sz="4" w:space="0"/>
              <w:left w:val="single" w:color="000000" w:sz="4" w:space="0"/>
              <w:bottom w:val="single" w:color="000000" w:sz="4" w:space="0"/>
              <w:right w:val="single" w:color="000000" w:sz="4" w:space="0"/>
            </w:tcBorders>
            <w:noWrap/>
            <w:vAlign w:val="center"/>
          </w:tcPr>
          <w:p w14:paraId="16D11535">
            <w:pPr>
              <w:adjustRightInd w:val="0"/>
              <w:snapToGrid w:val="0"/>
              <w:spacing w:line="360" w:lineRule="auto"/>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含产品包装，有检测口</w:t>
            </w:r>
          </w:p>
        </w:tc>
      </w:tr>
    </w:tbl>
    <w:p w14:paraId="25D1A432">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3.2、送样时间：同投标文件递交截止时间。</w:t>
      </w:r>
    </w:p>
    <w:p w14:paraId="5E33D64E">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3.3、样品的接收、保管、编号和退还：样品由代理机构负责统一接收、保管、编号和退还。</w:t>
      </w:r>
    </w:p>
    <w:p w14:paraId="4837ACD1">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3.4、基本要求：</w:t>
      </w:r>
    </w:p>
    <w:p w14:paraId="05C14089">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（1）投标人的样品制作、搬运、安装、拆除等相关费用由投标人承担。采购人及采购代理机构对投标人所递交样品的包装和污损不负任何责任。</w:t>
      </w:r>
    </w:p>
    <w:p w14:paraId="5AE91BDC">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（2）送达样品时，需提供样品清单，注明项目名称、项目编号、样品名称及数量与所投样品摆放在一起。</w:t>
      </w:r>
    </w:p>
    <w:p w14:paraId="4108A7C3">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（3）封样时间：开标结束后。样品封样时，由现场监督人员进行现场监督，投标人应按工作人员指示进行封样。</w:t>
      </w:r>
      <w:r>
        <w:rPr>
          <w:rFonts w:hint="eastAsia" w:ascii="宋体" w:hAnsi="宋体" w:eastAsia="宋体" w:cs="宋体"/>
          <w:b/>
          <w:bCs/>
          <w:color w:val="000000"/>
          <w:sz w:val="24"/>
          <w:szCs w:val="24"/>
          <w:highlight w:val="none"/>
          <w:lang w:eastAsia="zh-CN"/>
        </w:rPr>
        <w:t>（封样所需的样品箱及封条自行准备，开标时一起递交）</w:t>
      </w:r>
    </w:p>
    <w:p w14:paraId="0D5815E5">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4）退还：中标人的样品将由代理机构统一移交至采购人，用于验收比对（所供货物需与样品完全一致）。其余投标人应在接到采购代理机构通知之日起5个工作日内自行取回样品。5个工作日后不取回样品，则视为自动放弃样品的所有权，采购人和代理机构有权自行处置相关样品。</w:t>
      </w:r>
    </w:p>
    <w:p w14:paraId="704FE146">
      <w:pPr>
        <w:adjustRightInd w:val="0"/>
        <w:snapToGrid w:val="0"/>
        <w:spacing w:line="360" w:lineRule="auto"/>
        <w:rPr>
          <w:rFonts w:hint="default"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（5）本项目样品评审采用盲样，在样品包装及样品上均不能出现任何投标人或生产厂家等字样及图案，固有信息需有效遮挡。</w:t>
      </w:r>
    </w:p>
    <w:p w14:paraId="7570B716">
      <w:pPr>
        <w:adjustRightInd w:val="0"/>
        <w:snapToGrid w:val="0"/>
        <w:spacing w:line="360" w:lineRule="auto"/>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eastAsia="zh-CN"/>
        </w:rPr>
        <w:t>（6）投标人未按要求提供实物样品的，错送样品的，样品存在安全隐患的，可能泄露投标人或生产厂家信息的，其样品不得分。</w:t>
      </w:r>
    </w:p>
    <w:p w14:paraId="10FC064B">
      <w:pPr>
        <w:snapToGrid w:val="0"/>
        <w:spacing w:line="360" w:lineRule="auto"/>
        <w:rPr>
          <w:rFonts w:hint="eastAsia" w:hAnsi="宋体" w:cs="宋体"/>
          <w:b/>
          <w:bCs/>
          <w:color w:val="000000"/>
          <w:kern w:val="2"/>
          <w:sz w:val="24"/>
          <w:szCs w:val="24"/>
          <w:highlight w:val="none"/>
        </w:rPr>
      </w:pPr>
      <w:r>
        <w:rPr>
          <w:rFonts w:hint="eastAsia" w:hAnsi="宋体" w:cs="宋体"/>
          <w:b/>
          <w:bCs/>
          <w:color w:val="000000"/>
          <w:kern w:val="2"/>
          <w:sz w:val="24"/>
          <w:szCs w:val="24"/>
          <w:highlight w:val="none"/>
          <w:lang w:val="en-US" w:eastAsia="zh-CN"/>
        </w:rPr>
        <w:t>三、</w:t>
      </w:r>
      <w:r>
        <w:rPr>
          <w:rFonts w:hint="eastAsia" w:hAnsi="宋体" w:cs="宋体"/>
          <w:b/>
          <w:bCs/>
          <w:color w:val="000000"/>
          <w:kern w:val="2"/>
          <w:sz w:val="24"/>
          <w:szCs w:val="24"/>
          <w:highlight w:val="none"/>
        </w:rPr>
        <w:t>商务要求（实质性要求）</w:t>
      </w:r>
    </w:p>
    <w:p w14:paraId="4EB2E211">
      <w:pPr>
        <w:pStyle w:val="18"/>
        <w:keepNext w:val="0"/>
        <w:keepLines w:val="0"/>
        <w:pageBreakBefore w:val="0"/>
        <w:numPr>
          <w:ilvl w:val="0"/>
          <w:numId w:val="0"/>
        </w:numPr>
        <w:kinsoku/>
        <w:wordWrap/>
        <w:overflowPunct/>
        <w:topLinePunct w:val="0"/>
        <w:bidi w:val="0"/>
        <w:snapToGrid w:val="0"/>
        <w:spacing w:line="360" w:lineRule="auto"/>
        <w:ind w:firstLine="482" w:firstLineChars="200"/>
        <w:outlineLvl w:val="3"/>
        <w:rPr>
          <w:rFonts w:hint="eastAsia" w:ascii="宋体" w:hAnsi="宋体" w:eastAsia="宋体" w:cs="宋体"/>
          <w:color w:val="000000"/>
          <w:sz w:val="24"/>
          <w:szCs w:val="24"/>
          <w:highlight w:val="none"/>
          <w:lang w:eastAsia="zh-CN"/>
        </w:rPr>
      </w:pPr>
      <w:r>
        <w:rPr>
          <w:rFonts w:hint="eastAsia" w:ascii="宋体" w:hAnsi="宋体" w:eastAsia="宋体" w:cs="宋体"/>
          <w:b/>
          <w:bCs/>
          <w:color w:val="000000"/>
          <w:sz w:val="24"/>
          <w:szCs w:val="24"/>
          <w:highlight w:val="none"/>
          <w:lang w:val="en-US" w:eastAsia="zh-CN"/>
        </w:rPr>
        <w:t>1、</w:t>
      </w:r>
      <w:r>
        <w:rPr>
          <w:rFonts w:hint="eastAsia" w:ascii="宋体" w:hAnsi="宋体" w:eastAsia="宋体" w:cs="宋体"/>
          <w:b/>
          <w:bCs/>
          <w:color w:val="000000"/>
          <w:sz w:val="24"/>
          <w:szCs w:val="24"/>
          <w:highlight w:val="none"/>
          <w:lang w:eastAsia="zh-CN"/>
        </w:rPr>
        <w:t>配送时间及地点</w:t>
      </w:r>
      <w:r>
        <w:rPr>
          <w:rFonts w:hint="eastAsia" w:ascii="宋体" w:hAnsi="宋体" w:eastAsia="宋体" w:cs="宋体"/>
          <w:b/>
          <w:bCs/>
          <w:color w:val="000000"/>
          <w:sz w:val="24"/>
          <w:szCs w:val="24"/>
          <w:highlight w:val="none"/>
        </w:rPr>
        <w:t>：</w:t>
      </w:r>
    </w:p>
    <w:p w14:paraId="541CBFFA">
      <w:pPr>
        <w:pStyle w:val="18"/>
        <w:keepNext w:val="0"/>
        <w:keepLines w:val="0"/>
        <w:pageBreakBefore w:val="0"/>
        <w:kinsoku/>
        <w:wordWrap/>
        <w:overflowPunct/>
        <w:topLinePunct w:val="0"/>
        <w:bidi w:val="0"/>
        <w:snapToGrid w:val="0"/>
        <w:spacing w:line="360" w:lineRule="auto"/>
        <w:ind w:firstLine="480" w:firstLineChars="200"/>
        <w:outlineLvl w:val="3"/>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（1）中标人</w:t>
      </w:r>
      <w:r>
        <w:rPr>
          <w:rFonts w:hint="eastAsia" w:ascii="宋体" w:hAnsi="宋体" w:eastAsia="宋体" w:cs="宋体"/>
          <w:color w:val="000000"/>
          <w:sz w:val="24"/>
          <w:szCs w:val="24"/>
          <w:highlight w:val="none"/>
        </w:rPr>
        <w:t>需在</w:t>
      </w:r>
      <w:r>
        <w:rPr>
          <w:rFonts w:hint="eastAsia" w:ascii="宋体" w:hAnsi="宋体" w:eastAsia="宋体" w:cs="宋体"/>
          <w:color w:val="000000"/>
          <w:sz w:val="24"/>
          <w:szCs w:val="24"/>
          <w:highlight w:val="none"/>
          <w:lang w:eastAsia="zh-CN"/>
        </w:rPr>
        <w:t>合同签订后</w:t>
      </w:r>
      <w:r>
        <w:rPr>
          <w:rFonts w:hint="eastAsia" w:ascii="宋体" w:hAnsi="宋体" w:eastAsia="宋体" w:cs="宋体"/>
          <w:color w:val="000000"/>
          <w:sz w:val="24"/>
          <w:szCs w:val="24"/>
          <w:highlight w:val="none"/>
          <w:u w:val="single"/>
          <w:lang w:eastAsia="zh-CN"/>
        </w:rPr>
        <w:t>十五</w:t>
      </w:r>
      <w:r>
        <w:rPr>
          <w:rFonts w:hint="eastAsia" w:ascii="宋体" w:hAnsi="宋体" w:eastAsia="宋体" w:cs="宋体"/>
          <w:color w:val="000000"/>
          <w:sz w:val="24"/>
          <w:szCs w:val="24"/>
          <w:highlight w:val="none"/>
          <w:u w:val="single"/>
        </w:rPr>
        <w:t>日内</w:t>
      </w:r>
      <w:r>
        <w:rPr>
          <w:rFonts w:hint="eastAsia" w:ascii="宋体" w:hAnsi="宋体" w:eastAsia="宋体" w:cs="宋体"/>
          <w:color w:val="000000"/>
          <w:sz w:val="24"/>
          <w:szCs w:val="24"/>
          <w:highlight w:val="none"/>
        </w:rPr>
        <w:t>完成本</w:t>
      </w:r>
      <w:r>
        <w:rPr>
          <w:rFonts w:hint="eastAsia" w:ascii="宋体" w:hAnsi="宋体" w:eastAsia="宋体" w:cs="宋体"/>
          <w:color w:val="000000"/>
          <w:sz w:val="24"/>
          <w:szCs w:val="24"/>
          <w:highlight w:val="none"/>
          <w:lang w:eastAsia="zh-CN"/>
        </w:rPr>
        <w:t>合同货物</w:t>
      </w:r>
      <w:r>
        <w:rPr>
          <w:rFonts w:hint="eastAsia" w:ascii="宋体" w:hAnsi="宋体" w:eastAsia="宋体" w:cs="宋体"/>
          <w:color w:val="000000"/>
          <w:sz w:val="24"/>
          <w:szCs w:val="24"/>
          <w:highlight w:val="none"/>
        </w:rPr>
        <w:t>的配送服务</w:t>
      </w:r>
      <w:r>
        <w:rPr>
          <w:rFonts w:hint="eastAsia" w:ascii="宋体" w:hAnsi="宋体" w:eastAsia="宋体" w:cs="宋体"/>
          <w:color w:val="000000"/>
          <w:sz w:val="24"/>
          <w:szCs w:val="24"/>
          <w:highlight w:val="none"/>
          <w:lang w:eastAsia="zh-CN"/>
        </w:rPr>
        <w:t>。</w:t>
      </w:r>
    </w:p>
    <w:p w14:paraId="48545CCE">
      <w:pPr>
        <w:pStyle w:val="18"/>
        <w:keepNext w:val="0"/>
        <w:keepLines w:val="0"/>
        <w:pageBreakBefore w:val="0"/>
        <w:kinsoku/>
        <w:wordWrap/>
        <w:overflowPunct/>
        <w:topLinePunct w:val="0"/>
        <w:bidi w:val="0"/>
        <w:snapToGrid w:val="0"/>
        <w:spacing w:line="360" w:lineRule="auto"/>
        <w:ind w:firstLine="480" w:firstLineChars="200"/>
        <w:outlineLvl w:val="3"/>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（2）成都大学附属医院后勤保障部库房（成都市金牛区二环路北二段</w:t>
      </w:r>
      <w:r>
        <w:rPr>
          <w:rFonts w:hint="eastAsia" w:ascii="宋体" w:hAnsi="宋体" w:eastAsia="宋体" w:cs="宋体"/>
          <w:color w:val="000000"/>
          <w:sz w:val="24"/>
          <w:szCs w:val="24"/>
          <w:highlight w:val="none"/>
          <w:lang w:val="en-US" w:eastAsia="zh-CN"/>
        </w:rPr>
        <w:t>82号</w:t>
      </w:r>
      <w:r>
        <w:rPr>
          <w:rFonts w:hint="eastAsia" w:ascii="宋体" w:hAnsi="宋体" w:eastAsia="宋体" w:cs="宋体"/>
          <w:color w:val="000000"/>
          <w:sz w:val="24"/>
          <w:szCs w:val="24"/>
          <w:highlight w:val="none"/>
          <w:lang w:eastAsia="zh-CN"/>
        </w:rPr>
        <w:t>）。</w:t>
      </w:r>
    </w:p>
    <w:p w14:paraId="5BC2FD4C">
      <w:pPr>
        <w:pStyle w:val="18"/>
        <w:keepNext w:val="0"/>
        <w:keepLines w:val="0"/>
        <w:pageBreakBefore w:val="0"/>
        <w:kinsoku/>
        <w:wordWrap/>
        <w:overflowPunct/>
        <w:topLinePunct w:val="0"/>
        <w:bidi w:val="0"/>
        <w:snapToGrid w:val="0"/>
        <w:spacing w:line="360" w:lineRule="auto"/>
        <w:ind w:firstLine="480"/>
        <w:outlineLvl w:val="3"/>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highlight w:val="none"/>
          <w:lang w:val="en-US" w:eastAsia="zh-CN"/>
        </w:rPr>
        <w:t>2、</w:t>
      </w:r>
      <w:r>
        <w:rPr>
          <w:rFonts w:hint="eastAsia" w:ascii="宋体" w:hAnsi="宋体" w:eastAsia="宋体" w:cs="宋体"/>
          <w:b/>
          <w:bCs/>
          <w:color w:val="000000"/>
          <w:sz w:val="24"/>
          <w:szCs w:val="24"/>
          <w:highlight w:val="none"/>
        </w:rPr>
        <w:t>付款方式及付款时间</w:t>
      </w:r>
    </w:p>
    <w:p w14:paraId="1494903C">
      <w:pPr>
        <w:pStyle w:val="18"/>
        <w:keepNext w:val="0"/>
        <w:keepLines w:val="0"/>
        <w:pageBreakBefore w:val="0"/>
        <w:kinsoku/>
        <w:wordWrap/>
        <w:overflowPunct/>
        <w:topLinePunct w:val="0"/>
        <w:bidi w:val="0"/>
        <w:snapToGrid w:val="0"/>
        <w:spacing w:line="360" w:lineRule="auto"/>
        <w:ind w:firstLine="480"/>
        <w:outlineLvl w:val="3"/>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lang w:eastAsia="zh-CN"/>
        </w:rPr>
        <w:t>验收合格后，中标人</w:t>
      </w:r>
      <w:r>
        <w:rPr>
          <w:rFonts w:hint="eastAsia" w:ascii="宋体" w:hAnsi="宋体" w:eastAsia="宋体" w:cs="宋体"/>
          <w:color w:val="000000"/>
          <w:sz w:val="24"/>
          <w:szCs w:val="24"/>
          <w:highlight w:val="none"/>
        </w:rPr>
        <w:t>开具</w:t>
      </w:r>
      <w:r>
        <w:rPr>
          <w:rFonts w:hint="eastAsia" w:ascii="宋体" w:hAnsi="宋体" w:eastAsia="宋体" w:cs="宋体"/>
          <w:color w:val="000000"/>
          <w:sz w:val="24"/>
          <w:szCs w:val="24"/>
          <w:highlight w:val="none"/>
          <w:lang w:eastAsia="zh-CN"/>
        </w:rPr>
        <w:t>合法有效的</w:t>
      </w:r>
      <w:r>
        <w:rPr>
          <w:rFonts w:hint="eastAsia" w:ascii="宋体" w:hAnsi="宋体" w:eastAsia="宋体" w:cs="宋体"/>
          <w:color w:val="000000"/>
          <w:sz w:val="24"/>
          <w:szCs w:val="24"/>
          <w:highlight w:val="none"/>
        </w:rPr>
        <w:t>全额增值税</w:t>
      </w:r>
      <w:r>
        <w:rPr>
          <w:rFonts w:hint="eastAsia" w:ascii="宋体" w:hAnsi="宋体" w:eastAsia="宋体" w:cs="宋体"/>
          <w:color w:val="000000"/>
          <w:sz w:val="24"/>
          <w:szCs w:val="24"/>
          <w:highlight w:val="none"/>
          <w:lang w:eastAsia="zh-CN"/>
        </w:rPr>
        <w:t>普通</w:t>
      </w:r>
      <w:r>
        <w:rPr>
          <w:rFonts w:hint="eastAsia" w:ascii="宋体" w:hAnsi="宋体" w:eastAsia="宋体" w:cs="宋体"/>
          <w:color w:val="000000"/>
          <w:sz w:val="24"/>
          <w:szCs w:val="24"/>
          <w:highlight w:val="none"/>
        </w:rPr>
        <w:t>发票，</w:t>
      </w: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rPr>
        <w:t>收到发票后</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lang w:eastAsia="zh-CN"/>
        </w:rPr>
        <w:t>0个日历</w:t>
      </w:r>
      <w:r>
        <w:rPr>
          <w:rFonts w:hint="eastAsia" w:ascii="宋体" w:hAnsi="宋体" w:eastAsia="宋体" w:cs="宋体"/>
          <w:color w:val="000000"/>
          <w:sz w:val="24"/>
          <w:szCs w:val="24"/>
          <w:highlight w:val="none"/>
        </w:rPr>
        <w:t>日</w:t>
      </w:r>
      <w:r>
        <w:rPr>
          <w:rFonts w:hint="eastAsia" w:ascii="宋体" w:hAnsi="宋体" w:eastAsia="宋体" w:cs="宋体"/>
          <w:color w:val="000000"/>
          <w:sz w:val="24"/>
          <w:szCs w:val="24"/>
          <w:highlight w:val="none"/>
          <w:lang w:eastAsia="zh-CN"/>
        </w:rPr>
        <w:t>内通过</w:t>
      </w:r>
      <w:r>
        <w:rPr>
          <w:rFonts w:hint="eastAsia" w:ascii="宋体" w:hAnsi="宋体" w:eastAsia="宋体" w:cs="宋体"/>
          <w:bCs/>
          <w:color w:val="000000"/>
          <w:sz w:val="24"/>
          <w:szCs w:val="24"/>
          <w:highlight w:val="none"/>
          <w:lang w:eastAsia="zh-CN"/>
        </w:rPr>
        <w:t>银行转账</w:t>
      </w:r>
      <w:r>
        <w:rPr>
          <w:rFonts w:hint="eastAsia" w:ascii="宋体" w:hAnsi="宋体" w:eastAsia="宋体" w:cs="宋体"/>
          <w:color w:val="000000"/>
          <w:sz w:val="24"/>
          <w:szCs w:val="24"/>
          <w:highlight w:val="none"/>
          <w:lang w:eastAsia="zh-CN"/>
        </w:rPr>
        <w:t>完成支付</w:t>
      </w:r>
      <w:r>
        <w:rPr>
          <w:rFonts w:hint="eastAsia" w:ascii="宋体" w:hAnsi="宋体" w:eastAsia="宋体" w:cs="宋体"/>
          <w:color w:val="000000"/>
          <w:sz w:val="24"/>
          <w:szCs w:val="24"/>
          <w:highlight w:val="none"/>
        </w:rPr>
        <w:t>。</w:t>
      </w:r>
    </w:p>
    <w:p w14:paraId="773375BF">
      <w:pPr>
        <w:pStyle w:val="18"/>
        <w:keepNext w:val="0"/>
        <w:keepLines w:val="0"/>
        <w:pageBreakBefore w:val="0"/>
        <w:kinsoku/>
        <w:wordWrap/>
        <w:overflowPunct/>
        <w:topLinePunct w:val="0"/>
        <w:bidi w:val="0"/>
        <w:snapToGrid w:val="0"/>
        <w:spacing w:line="360" w:lineRule="auto"/>
        <w:ind w:firstLine="480"/>
        <w:outlineLvl w:val="3"/>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lang w:val="en-US" w:eastAsia="zh-CN"/>
        </w:rPr>
        <w:t>3、</w:t>
      </w:r>
      <w:r>
        <w:rPr>
          <w:rFonts w:hint="eastAsia" w:ascii="宋体" w:hAnsi="宋体" w:eastAsia="宋体" w:cs="宋体"/>
          <w:b/>
          <w:color w:val="000000"/>
          <w:sz w:val="24"/>
          <w:szCs w:val="24"/>
          <w:highlight w:val="none"/>
        </w:rPr>
        <w:t>验收</w:t>
      </w:r>
      <w:r>
        <w:rPr>
          <w:rFonts w:hint="eastAsia" w:ascii="宋体" w:hAnsi="宋体" w:eastAsia="宋体" w:cs="宋体"/>
          <w:b/>
          <w:bCs/>
          <w:color w:val="000000"/>
          <w:sz w:val="24"/>
          <w:szCs w:val="24"/>
          <w:highlight w:val="none"/>
          <w:shd w:val="clear" w:color="auto" w:fill="FFFFFF"/>
          <w:lang w:eastAsia="zh-CN"/>
        </w:rPr>
        <w:t>交付</w:t>
      </w:r>
      <w:r>
        <w:rPr>
          <w:rFonts w:hint="eastAsia" w:ascii="宋体" w:hAnsi="宋体" w:eastAsia="宋体" w:cs="宋体"/>
          <w:b/>
          <w:color w:val="000000"/>
          <w:sz w:val="24"/>
          <w:szCs w:val="24"/>
          <w:highlight w:val="none"/>
        </w:rPr>
        <w:t>标准和方法</w:t>
      </w:r>
      <w:r>
        <w:rPr>
          <w:rFonts w:hint="eastAsia" w:ascii="宋体" w:hAnsi="宋体" w:eastAsia="宋体" w:cs="宋体"/>
          <w:color w:val="000000"/>
          <w:sz w:val="24"/>
          <w:szCs w:val="24"/>
          <w:highlight w:val="none"/>
          <w:shd w:val="clear" w:color="auto" w:fill="FFFFFF"/>
          <w:lang w:eastAsia="zh-CN"/>
        </w:rPr>
        <w:t>：</w:t>
      </w:r>
    </w:p>
    <w:p w14:paraId="3379B224">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rPr>
        <w:t>（1）按国家有关规定以及招标文件的质量要求和技术指标、中标人的响应投标文件及承诺与合同约定标准进行验收；</w:t>
      </w:r>
    </w:p>
    <w:p w14:paraId="764507F7">
      <w:pPr>
        <w:pStyle w:val="18"/>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shd w:val="clear" w:color="auto" w:fill="FFFFFF"/>
          <w:lang w:eastAsia="zh-CN"/>
        </w:rPr>
        <w:t>（2）其他未尽事宜按照</w:t>
      </w:r>
      <w:r>
        <w:rPr>
          <w:rFonts w:hint="eastAsia" w:ascii="宋体" w:hAnsi="宋体" w:eastAsia="宋体" w:cs="宋体"/>
          <w:color w:val="000000"/>
          <w:sz w:val="24"/>
          <w:szCs w:val="24"/>
          <w:highlight w:val="none"/>
        </w:rPr>
        <w:t>《财政部关于进一步加强政府采购需求和履约验收管理的指导意见》</w:t>
      </w:r>
      <w:r>
        <w:rPr>
          <w:rFonts w:hint="eastAsia" w:ascii="宋体" w:hAnsi="宋体" w:eastAsia="宋体" w:cs="宋体"/>
          <w:color w:val="000000"/>
          <w:sz w:val="24"/>
          <w:szCs w:val="24"/>
          <w:highlight w:val="none"/>
          <w:shd w:val="clear" w:color="auto" w:fill="FFFFFF"/>
          <w:lang w:eastAsia="zh-CN"/>
        </w:rPr>
        <w:t>(</w:t>
      </w:r>
      <w:r>
        <w:rPr>
          <w:rFonts w:hint="eastAsia" w:ascii="宋体" w:hAnsi="宋体" w:eastAsia="宋体" w:cs="宋体"/>
          <w:color w:val="000000"/>
          <w:sz w:val="24"/>
          <w:szCs w:val="24"/>
          <w:highlight w:val="none"/>
        </w:rPr>
        <w:t>财库〔2016〕</w:t>
      </w:r>
      <w:r>
        <w:rPr>
          <w:rFonts w:hint="eastAsia" w:ascii="宋体" w:hAnsi="宋体" w:eastAsia="宋体" w:cs="宋体"/>
          <w:color w:val="000000"/>
          <w:sz w:val="24"/>
          <w:szCs w:val="24"/>
          <w:highlight w:val="none"/>
          <w:shd w:val="clear" w:color="auto" w:fill="FFFFFF"/>
          <w:lang w:eastAsia="zh-CN"/>
        </w:rPr>
        <w:t>205 号)的</w:t>
      </w:r>
      <w:r>
        <w:rPr>
          <w:rFonts w:hint="eastAsia" w:ascii="宋体" w:hAnsi="宋体" w:eastAsia="宋体" w:cs="宋体"/>
          <w:color w:val="000000"/>
          <w:sz w:val="24"/>
          <w:szCs w:val="24"/>
          <w:highlight w:val="none"/>
        </w:rPr>
        <w:t>要求进行验收</w:t>
      </w:r>
      <w:r>
        <w:rPr>
          <w:rFonts w:hint="eastAsia" w:ascii="宋体" w:hAnsi="宋体" w:eastAsia="宋体" w:cs="宋体"/>
          <w:color w:val="000000"/>
          <w:sz w:val="24"/>
          <w:szCs w:val="24"/>
          <w:highlight w:val="none"/>
          <w:shd w:val="clear" w:color="auto" w:fill="FFFFFF"/>
          <w:lang w:eastAsia="zh-CN"/>
        </w:rPr>
        <w:t>。</w:t>
      </w:r>
    </w:p>
    <w:p w14:paraId="525CE804">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shd w:val="clear" w:color="auto" w:fill="FFFFFF"/>
        </w:rPr>
        <w:t>3）验收方案：</w:t>
      </w:r>
    </w:p>
    <w:p w14:paraId="2A7440BE">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rPr>
        <w:t>a、验收组织方式：自行验收；</w:t>
      </w:r>
    </w:p>
    <w:p w14:paraId="7F73B0A8">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rPr>
        <w:t>b、是否邀请本项目的其他供应商：否；</w:t>
      </w:r>
    </w:p>
    <w:p w14:paraId="3C3F0A61">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rPr>
        <w:t>c、是否邀请专家：否；</w:t>
      </w:r>
    </w:p>
    <w:p w14:paraId="1A2D40E7">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rPr>
        <w:t>d、是否邀请第三方检测机构：否；</w:t>
      </w:r>
    </w:p>
    <w:p w14:paraId="0A876FA7">
      <w:pPr>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shd w:val="clear" w:color="auto" w:fill="FFFFFF"/>
        </w:rPr>
      </w:pPr>
      <w:r>
        <w:rPr>
          <w:rFonts w:hint="eastAsia" w:ascii="宋体" w:hAnsi="宋体" w:eastAsia="宋体" w:cs="宋体"/>
          <w:color w:val="000000"/>
          <w:sz w:val="24"/>
          <w:szCs w:val="24"/>
          <w:highlight w:val="none"/>
          <w:shd w:val="clear" w:color="auto" w:fill="FFFFFF"/>
          <w:lang w:val="en-US" w:eastAsia="zh-CN"/>
        </w:rPr>
        <w:t>e</w:t>
      </w:r>
      <w:r>
        <w:rPr>
          <w:rFonts w:hint="eastAsia" w:ascii="宋体" w:hAnsi="宋体" w:eastAsia="宋体" w:cs="宋体"/>
          <w:color w:val="000000"/>
          <w:sz w:val="24"/>
          <w:szCs w:val="24"/>
          <w:highlight w:val="none"/>
          <w:shd w:val="clear" w:color="auto" w:fill="FFFFFF"/>
        </w:rPr>
        <w:t>、履约验收时间：供应商配送到位后当场验收；</w:t>
      </w:r>
    </w:p>
    <w:p w14:paraId="4F4CA0FA">
      <w:pPr>
        <w:pStyle w:val="18"/>
        <w:keepNext w:val="0"/>
        <w:keepLines w:val="0"/>
        <w:pageBreakBefore w:val="0"/>
        <w:kinsoku/>
        <w:wordWrap/>
        <w:overflowPunct/>
        <w:topLinePunct w:val="0"/>
        <w:bidi w:val="0"/>
        <w:snapToGrid w:val="0"/>
        <w:spacing w:line="360" w:lineRule="auto"/>
        <w:ind w:firstLine="480" w:firstLineChars="200"/>
        <w:outlineLvl w:val="3"/>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shd w:val="clear" w:color="auto" w:fill="FFFFFF"/>
          <w:lang w:val="en-US" w:eastAsia="zh-CN"/>
        </w:rPr>
        <w:t>f</w:t>
      </w:r>
      <w:r>
        <w:rPr>
          <w:rFonts w:hint="eastAsia" w:ascii="宋体" w:hAnsi="宋体" w:eastAsia="宋体" w:cs="宋体"/>
          <w:color w:val="000000"/>
          <w:sz w:val="24"/>
          <w:szCs w:val="24"/>
          <w:highlight w:val="none"/>
          <w:shd w:val="clear" w:color="auto" w:fill="FFFFFF"/>
          <w:lang w:eastAsia="zh-CN"/>
        </w:rPr>
        <w:t>、验收组织的其他事项：供应商需提前与采购方指定工作人员约定配送和</w:t>
      </w:r>
      <w:r>
        <w:rPr>
          <w:rFonts w:hint="eastAsia" w:ascii="宋体" w:hAnsi="宋体" w:eastAsia="宋体" w:cs="宋体"/>
          <w:color w:val="000000"/>
          <w:sz w:val="24"/>
          <w:szCs w:val="24"/>
          <w:highlight w:val="none"/>
          <w:lang w:eastAsia="zh-CN"/>
        </w:rPr>
        <w:t>验收</w:t>
      </w:r>
      <w:r>
        <w:rPr>
          <w:rFonts w:hint="eastAsia" w:ascii="宋体" w:hAnsi="宋体" w:eastAsia="宋体" w:cs="宋体"/>
          <w:color w:val="000000"/>
          <w:sz w:val="24"/>
          <w:szCs w:val="24"/>
          <w:highlight w:val="none"/>
          <w:shd w:val="clear" w:color="auto" w:fill="FFFFFF"/>
          <w:lang w:eastAsia="zh-CN"/>
        </w:rPr>
        <w:t>时间；</w:t>
      </w:r>
    </w:p>
    <w:p w14:paraId="2991098B">
      <w:pPr>
        <w:pStyle w:val="18"/>
        <w:keepNext w:val="0"/>
        <w:keepLines w:val="0"/>
        <w:pageBreakBefore w:val="0"/>
        <w:kinsoku/>
        <w:wordWrap/>
        <w:overflowPunct/>
        <w:topLinePunct w:val="0"/>
        <w:bidi w:val="0"/>
        <w:snapToGrid w:val="0"/>
        <w:spacing w:line="360" w:lineRule="auto"/>
        <w:ind w:firstLine="480" w:firstLineChars="200"/>
        <w:outlineLvl w:val="3"/>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shd w:val="clear" w:color="auto" w:fill="FFFFFF"/>
          <w:lang w:val="en-US" w:eastAsia="zh-CN"/>
        </w:rPr>
        <w:t>g</w:t>
      </w:r>
      <w:r>
        <w:rPr>
          <w:rFonts w:hint="eastAsia" w:ascii="宋体" w:hAnsi="宋体" w:eastAsia="宋体" w:cs="宋体"/>
          <w:color w:val="000000"/>
          <w:sz w:val="24"/>
          <w:szCs w:val="24"/>
          <w:highlight w:val="none"/>
          <w:shd w:val="clear" w:color="auto" w:fill="FFFFFF"/>
          <w:lang w:eastAsia="zh-CN"/>
        </w:rPr>
        <w:t>、履约验收其他事项：履约验收各条款间有不一致时，按较高标准进行</w:t>
      </w:r>
      <w:r>
        <w:rPr>
          <w:rFonts w:hint="eastAsia" w:ascii="宋体" w:hAnsi="宋体" w:eastAsia="宋体" w:cs="宋体"/>
          <w:color w:val="000000"/>
          <w:sz w:val="24"/>
          <w:szCs w:val="24"/>
          <w:highlight w:val="none"/>
          <w:lang w:eastAsia="zh-CN"/>
        </w:rPr>
        <w:t>。</w:t>
      </w:r>
    </w:p>
    <w:p w14:paraId="3C7597F6">
      <w:pPr>
        <w:pStyle w:val="18"/>
        <w:keepNext w:val="0"/>
        <w:keepLines w:val="0"/>
        <w:pageBreakBefore w:val="0"/>
        <w:kinsoku/>
        <w:wordWrap/>
        <w:overflowPunct/>
        <w:topLinePunct w:val="0"/>
        <w:bidi w:val="0"/>
        <w:snapToGrid w:val="0"/>
        <w:spacing w:line="360" w:lineRule="auto"/>
        <w:ind w:firstLine="480"/>
        <w:outlineLvl w:val="3"/>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lang w:val="en-US" w:eastAsia="zh-CN"/>
        </w:rPr>
        <w:t>4、</w:t>
      </w:r>
      <w:r>
        <w:rPr>
          <w:rFonts w:hint="eastAsia" w:ascii="宋体" w:hAnsi="宋体" w:eastAsia="宋体" w:cs="宋体"/>
          <w:b/>
          <w:color w:val="000000"/>
          <w:sz w:val="24"/>
          <w:szCs w:val="24"/>
          <w:highlight w:val="none"/>
        </w:rPr>
        <w:t>包装方式及运输</w:t>
      </w:r>
    </w:p>
    <w:p w14:paraId="6C562D95">
      <w:pPr>
        <w:pStyle w:val="18"/>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涉及的商品包装和快递包装，均应符合《商品包装政府采购需求标准（试行）》《快递包装政府采购需求标准（试行）》的要求，包装应适应于远距离运输、防潮、防震、防锈和防野蛮装卸，以确保货物安全无损运抵指定地点。</w:t>
      </w:r>
    </w:p>
    <w:p w14:paraId="16AA0FC5">
      <w:pPr>
        <w:pStyle w:val="18"/>
        <w:keepNext w:val="0"/>
        <w:keepLines w:val="0"/>
        <w:pageBreakBefore w:val="0"/>
        <w:numPr>
          <w:ilvl w:val="0"/>
          <w:numId w:val="0"/>
        </w:numPr>
        <w:kinsoku/>
        <w:wordWrap/>
        <w:overflowPunct/>
        <w:topLinePunct w:val="0"/>
        <w:bidi w:val="0"/>
        <w:snapToGrid w:val="0"/>
        <w:spacing w:line="360" w:lineRule="auto"/>
        <w:ind w:firstLine="482" w:firstLineChars="200"/>
        <w:outlineLvl w:val="3"/>
        <w:rPr>
          <w:rFonts w:hint="eastAsia" w:ascii="宋体" w:hAnsi="宋体" w:eastAsia="宋体" w:cs="宋体"/>
          <w:b/>
          <w:color w:val="000000"/>
          <w:sz w:val="24"/>
          <w:szCs w:val="24"/>
          <w:highlight w:val="none"/>
          <w:lang w:eastAsia="zh-CN"/>
        </w:rPr>
      </w:pPr>
      <w:r>
        <w:rPr>
          <w:rFonts w:hint="eastAsia" w:ascii="宋体" w:hAnsi="宋体" w:eastAsia="宋体" w:cs="宋体"/>
          <w:b/>
          <w:color w:val="000000"/>
          <w:sz w:val="24"/>
          <w:szCs w:val="24"/>
          <w:highlight w:val="none"/>
          <w:lang w:val="en-US" w:eastAsia="zh-CN"/>
        </w:rPr>
        <w:t>5、</w:t>
      </w:r>
      <w:r>
        <w:rPr>
          <w:rFonts w:hint="eastAsia" w:ascii="宋体" w:hAnsi="宋体" w:eastAsia="宋体" w:cs="宋体"/>
          <w:b/>
          <w:color w:val="000000"/>
          <w:sz w:val="24"/>
          <w:szCs w:val="24"/>
          <w:highlight w:val="none"/>
          <w:lang w:eastAsia="zh-CN"/>
        </w:rPr>
        <w:t>售后服务</w:t>
      </w:r>
      <w:r>
        <w:rPr>
          <w:rFonts w:hint="eastAsia" w:ascii="宋体" w:hAnsi="宋体" w:eastAsia="宋体" w:cs="宋体"/>
          <w:color w:val="000000"/>
          <w:sz w:val="24"/>
          <w:szCs w:val="24"/>
          <w:highlight w:val="none"/>
        </w:rPr>
        <w:t>（售后服务涉及费用均包含在投标人的投标报价中）</w:t>
      </w:r>
    </w:p>
    <w:p w14:paraId="5BAAE1ED">
      <w:pPr>
        <w:pStyle w:val="18"/>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bCs/>
          <w:color w:val="000000"/>
          <w:sz w:val="24"/>
          <w:szCs w:val="24"/>
          <w:highlight w:val="none"/>
          <w:lang w:eastAsia="zh-CN"/>
        </w:rPr>
        <w:t>（1）</w:t>
      </w:r>
      <w:r>
        <w:rPr>
          <w:rFonts w:hint="eastAsia" w:ascii="宋体" w:hAnsi="宋体" w:eastAsia="宋体" w:cs="宋体"/>
          <w:color w:val="000000"/>
          <w:sz w:val="24"/>
          <w:szCs w:val="24"/>
          <w:highlight w:val="none"/>
        </w:rPr>
        <w:t>质保期</w:t>
      </w:r>
      <w:r>
        <w:rPr>
          <w:rFonts w:hint="eastAsia" w:ascii="宋体" w:hAnsi="宋体" w:eastAsia="宋体" w:cs="宋体"/>
          <w:color w:val="000000"/>
          <w:sz w:val="24"/>
          <w:szCs w:val="24"/>
          <w:highlight w:val="none"/>
          <w:lang w:val="en-US" w:eastAsia="zh-CN"/>
        </w:rPr>
        <w:t>1年</w:t>
      </w:r>
      <w:r>
        <w:rPr>
          <w:rFonts w:hint="eastAsia" w:ascii="宋体" w:hAnsi="宋体" w:eastAsia="宋体" w:cs="宋体"/>
          <w:color w:val="000000"/>
          <w:sz w:val="24"/>
          <w:szCs w:val="24"/>
          <w:highlight w:val="none"/>
        </w:rPr>
        <w:t>。</w:t>
      </w:r>
    </w:p>
    <w:p w14:paraId="6D9F39CD">
      <w:pPr>
        <w:pStyle w:val="18"/>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质保期内服务要求：</w:t>
      </w:r>
      <w:r>
        <w:rPr>
          <w:rFonts w:hint="eastAsia" w:ascii="宋体" w:hAnsi="宋体" w:eastAsia="宋体" w:cs="宋体"/>
          <w:color w:val="000000"/>
          <w:sz w:val="24"/>
          <w:szCs w:val="24"/>
          <w:highlight w:val="none"/>
          <w:lang w:eastAsia="zh-CN"/>
        </w:rPr>
        <w:t>提供原厂三包服务</w:t>
      </w:r>
      <w:r>
        <w:rPr>
          <w:rFonts w:hint="eastAsia" w:ascii="宋体" w:hAnsi="宋体" w:eastAsia="宋体" w:cs="宋体"/>
          <w:color w:val="000000"/>
          <w:sz w:val="24"/>
          <w:szCs w:val="24"/>
          <w:highlight w:val="none"/>
        </w:rPr>
        <w:t>，质保期内的服务均为上门服务。在产品发生问题时，中标人需承诺半小时内响应并提出解决措施，2小时内解决问题。</w:t>
      </w:r>
      <w:r>
        <w:rPr>
          <w:rFonts w:hint="eastAsia" w:ascii="宋体" w:hAnsi="宋体" w:eastAsia="宋体" w:cs="宋体"/>
          <w:color w:val="000000"/>
          <w:sz w:val="24"/>
          <w:szCs w:val="24"/>
          <w:highlight w:val="none"/>
          <w:lang w:eastAsia="zh-CN"/>
        </w:rPr>
        <w:t>（</w:t>
      </w:r>
      <w:r>
        <w:rPr>
          <w:rFonts w:hint="eastAsia" w:ascii="宋体" w:hAnsi="宋体" w:eastAsia="宋体" w:cs="宋体"/>
          <w:b/>
          <w:bCs/>
          <w:color w:val="000000"/>
          <w:sz w:val="24"/>
          <w:szCs w:val="24"/>
          <w:highlight w:val="none"/>
          <w:lang w:eastAsia="zh-CN"/>
        </w:rPr>
        <w:t>投标人须</w:t>
      </w:r>
      <w:r>
        <w:rPr>
          <w:rFonts w:hint="eastAsia" w:ascii="宋体" w:hAnsi="宋体" w:eastAsia="宋体" w:cs="宋体"/>
          <w:b/>
          <w:bCs/>
          <w:color w:val="000000"/>
          <w:sz w:val="24"/>
          <w:szCs w:val="24"/>
          <w:highlight w:val="none"/>
        </w:rPr>
        <w:t>在投标文件中</w:t>
      </w:r>
      <w:r>
        <w:rPr>
          <w:rFonts w:hint="eastAsia" w:ascii="宋体" w:hAnsi="宋体" w:eastAsia="宋体" w:cs="宋体"/>
          <w:b/>
          <w:bCs/>
          <w:color w:val="000000"/>
          <w:sz w:val="24"/>
          <w:szCs w:val="24"/>
          <w:highlight w:val="none"/>
          <w:lang w:eastAsia="zh-CN"/>
        </w:rPr>
        <w:t>单独提供承诺函</w:t>
      </w:r>
      <w:r>
        <w:rPr>
          <w:rFonts w:hint="eastAsia" w:ascii="宋体" w:hAnsi="宋体" w:eastAsia="宋体" w:cs="宋体"/>
          <w:b/>
          <w:bCs/>
          <w:color w:val="000000"/>
          <w:sz w:val="24"/>
          <w:szCs w:val="24"/>
          <w:highlight w:val="none"/>
        </w:rPr>
        <w:t>。</w:t>
      </w:r>
      <w:r>
        <w:rPr>
          <w:rFonts w:hint="eastAsia" w:ascii="宋体" w:hAnsi="宋体" w:eastAsia="宋体" w:cs="宋体"/>
          <w:color w:val="000000"/>
          <w:sz w:val="24"/>
          <w:szCs w:val="24"/>
          <w:highlight w:val="none"/>
          <w:lang w:eastAsia="zh-CN"/>
        </w:rPr>
        <w:t>）</w:t>
      </w:r>
    </w:p>
    <w:p w14:paraId="4D451C24">
      <w:pPr>
        <w:pStyle w:val="18"/>
        <w:keepNext w:val="0"/>
        <w:keepLines w:val="0"/>
        <w:pageBreakBefore w:val="0"/>
        <w:kinsoku/>
        <w:wordWrap/>
        <w:overflowPunct/>
        <w:topLinePunct w:val="0"/>
        <w:bidi w:val="0"/>
        <w:snapToGrid w:val="0"/>
        <w:spacing w:line="360" w:lineRule="auto"/>
        <w:ind w:firstLine="480"/>
        <w:outlineLvl w:val="3"/>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lang w:val="en-US" w:eastAsia="zh-CN"/>
        </w:rPr>
        <w:t>6、</w:t>
      </w:r>
      <w:r>
        <w:rPr>
          <w:rFonts w:hint="eastAsia" w:ascii="宋体" w:hAnsi="宋体" w:eastAsia="宋体" w:cs="宋体"/>
          <w:b/>
          <w:color w:val="000000"/>
          <w:sz w:val="24"/>
          <w:szCs w:val="24"/>
          <w:highlight w:val="none"/>
        </w:rPr>
        <w:t>违约责任与解决争议的方法</w:t>
      </w:r>
    </w:p>
    <w:p w14:paraId="3FA2AC32">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①</w:t>
      </w:r>
      <w:r>
        <w:rPr>
          <w:rFonts w:hint="eastAsia" w:ascii="宋体" w:hAnsi="宋体" w:eastAsia="宋体" w:cs="宋体"/>
          <w:color w:val="000000"/>
          <w:sz w:val="24"/>
          <w:szCs w:val="24"/>
          <w:highlight w:val="none"/>
        </w:rPr>
        <w:t xml:space="preserve"> 除不可抗力外，如果乙方没有按照本合同约定的期限、地点和方式交付货物，那么甲方可要求乙方支付违约金，违约金按每迟延交付货物一日的应交付而未交付货物价格的  </w:t>
      </w:r>
      <w:r>
        <w:rPr>
          <w:rFonts w:hint="eastAsia" w:ascii="宋体" w:hAnsi="宋体" w:eastAsia="宋体" w:cs="宋体"/>
          <w:color w:val="000000"/>
          <w:sz w:val="24"/>
          <w:szCs w:val="24"/>
          <w:highlight w:val="none"/>
          <w:u w:val="single"/>
        </w:rPr>
        <w:t>0.05  %</w:t>
      </w:r>
      <w:r>
        <w:rPr>
          <w:rFonts w:hint="eastAsia" w:ascii="宋体" w:hAnsi="宋体" w:eastAsia="宋体" w:cs="宋体"/>
          <w:color w:val="000000"/>
          <w:sz w:val="24"/>
          <w:szCs w:val="24"/>
          <w:highlight w:val="none"/>
        </w:rPr>
        <w:t>计算，最高限额为本合同总价的</w:t>
      </w:r>
      <w:r>
        <w:rPr>
          <w:rFonts w:hint="eastAsia" w:ascii="宋体" w:hAnsi="宋体" w:eastAsia="宋体" w:cs="宋体"/>
          <w:color w:val="000000"/>
          <w:sz w:val="24"/>
          <w:szCs w:val="24"/>
          <w:highlight w:val="none"/>
          <w:u w:val="single"/>
        </w:rPr>
        <w:t xml:space="preserve"> 20  %</w:t>
      </w:r>
      <w:r>
        <w:rPr>
          <w:rFonts w:hint="eastAsia" w:ascii="宋体" w:hAnsi="宋体" w:eastAsia="宋体" w:cs="宋体"/>
          <w:color w:val="000000"/>
          <w:sz w:val="24"/>
          <w:szCs w:val="24"/>
          <w:highlight w:val="none"/>
        </w:rPr>
        <w:t>；迟延交付货物的违约金计算数额达到前述最高限额之日起，甲方有权在要求乙方支付违约金的同时，书面通知乙方解除本合同；</w:t>
      </w:r>
    </w:p>
    <w:p w14:paraId="0C0E1D47">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②</w:t>
      </w:r>
      <w:r>
        <w:rPr>
          <w:rFonts w:hint="eastAsia" w:ascii="宋体" w:hAnsi="宋体" w:eastAsia="宋体" w:cs="宋体"/>
          <w:color w:val="000000"/>
          <w:sz w:val="24"/>
          <w:szCs w:val="24"/>
          <w:highlight w:val="none"/>
        </w:rPr>
        <w:t>除不可抗力外，如果甲方没有按照本合同约定的付款方式付款，那么乙方可要求甲方支付违约金，违约金按每迟延付款一日的应付而未付款的</w:t>
      </w:r>
      <w:r>
        <w:rPr>
          <w:rFonts w:hint="eastAsia" w:ascii="宋体" w:hAnsi="宋体" w:eastAsia="宋体" w:cs="宋体"/>
          <w:color w:val="000000"/>
          <w:sz w:val="24"/>
          <w:szCs w:val="24"/>
          <w:highlight w:val="none"/>
          <w:u w:val="single"/>
        </w:rPr>
        <w:t xml:space="preserve">  0.05  %</w:t>
      </w:r>
      <w:r>
        <w:rPr>
          <w:rFonts w:hint="eastAsia" w:ascii="宋体" w:hAnsi="宋体" w:eastAsia="宋体" w:cs="宋体"/>
          <w:color w:val="000000"/>
          <w:sz w:val="24"/>
          <w:szCs w:val="24"/>
          <w:highlight w:val="none"/>
        </w:rPr>
        <w:t>计算，最高限额为本合同总价的</w:t>
      </w:r>
      <w:r>
        <w:rPr>
          <w:rFonts w:hint="eastAsia" w:ascii="宋体" w:hAnsi="宋体" w:eastAsia="宋体" w:cs="宋体"/>
          <w:color w:val="000000"/>
          <w:sz w:val="24"/>
          <w:szCs w:val="24"/>
          <w:highlight w:val="none"/>
          <w:u w:val="single"/>
        </w:rPr>
        <w:t xml:space="preserve">  20   %</w:t>
      </w:r>
      <w:r>
        <w:rPr>
          <w:rFonts w:hint="eastAsia" w:ascii="宋体" w:hAnsi="宋体" w:eastAsia="宋体" w:cs="宋体"/>
          <w:color w:val="000000"/>
          <w:sz w:val="24"/>
          <w:szCs w:val="24"/>
          <w:highlight w:val="none"/>
        </w:rPr>
        <w:t>；迟延付款的违约金计算数额达到前述最高限额之日起，乙方有权在要求甲方支付违约金的同时，书面通知甲方解除本合同；</w:t>
      </w:r>
    </w:p>
    <w:p w14:paraId="2BC75FF3">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③</w:t>
      </w:r>
      <w:r>
        <w:rPr>
          <w:rFonts w:hint="eastAsia" w:ascii="宋体" w:hAnsi="宋体" w:eastAsia="宋体" w:cs="宋体"/>
          <w:color w:val="000000"/>
          <w:sz w:val="24"/>
          <w:szCs w:val="24"/>
          <w:highlight w:val="none"/>
        </w:rPr>
        <w:t xml:space="preserve"> 除不可抗力外，任何一方未能履行本合同约定的其他主要义务，经催告后在合理期限内仍未履行的，或者任何一方有其他违约行为致使不能实现合同目的的，或者任何一方有腐败行为（即：提供或给予或接受或索取任何财物或其他好处或者采取其他不正当手段影响对方当事人在合同签订、履行过程中的行为）或者欺诈行为（即：以谎报事实或者隐瞒真相的方法来影响对方当事人在合同签订、履行过程中的行为）的，对方当事人可以书面通知违约方解除本合同；</w:t>
      </w:r>
    </w:p>
    <w:p w14:paraId="17958083">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④</w:t>
      </w:r>
      <w:r>
        <w:rPr>
          <w:rFonts w:hint="eastAsia" w:ascii="宋体" w:hAnsi="宋体" w:eastAsia="宋体" w:cs="宋体"/>
          <w:color w:val="000000"/>
          <w:sz w:val="24"/>
          <w:szCs w:val="24"/>
          <w:highlight w:val="none"/>
        </w:rPr>
        <w:t>任何一方按照前述约定要求违约方支付违约金的同时，仍有权要求违约方继续履行合同、采取补救措施，并有权按照己方实际损失情况要求违约方赔偿损失；任何一方按照前述约定要求解除本合同的同时，仍有权要求违约方支付违约金和按照己方实际损失情况要求违约方赔偿损失；且守约方行使的任何权利救济方式均不视为其放弃了其他法定或者约定的权利救济方式；</w:t>
      </w:r>
    </w:p>
    <w:p w14:paraId="50969DFE">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⑤</w:t>
      </w:r>
      <w:r>
        <w:rPr>
          <w:rFonts w:hint="eastAsia" w:ascii="宋体" w:hAnsi="宋体" w:eastAsia="宋体" w:cs="宋体"/>
          <w:color w:val="000000"/>
          <w:sz w:val="24"/>
          <w:szCs w:val="24"/>
          <w:highlight w:val="none"/>
        </w:rPr>
        <w:t>除前述约定外，除不可抗力外，任何一方未能履行本合同约定的义务，对方当事人均有权要求继续履行、采取补救措施或者赔偿损失等，且对方当事人行使的任何权利救济方式均不视为其放弃了其他法定或者约定的权利救济方式；</w:t>
      </w:r>
    </w:p>
    <w:p w14:paraId="24414D67">
      <w:pPr>
        <w:pStyle w:val="13"/>
        <w:keepNext w:val="0"/>
        <w:keepLines w:val="0"/>
        <w:pageBreakBefore w:val="0"/>
        <w:kinsoku/>
        <w:wordWrap/>
        <w:overflowPunct/>
        <w:topLinePunct w:val="0"/>
        <w:bidi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⑥</w:t>
      </w:r>
      <w:r>
        <w:rPr>
          <w:rFonts w:hint="eastAsia" w:ascii="宋体" w:hAnsi="宋体" w:eastAsia="宋体" w:cs="宋体"/>
          <w:color w:val="000000"/>
          <w:sz w:val="24"/>
          <w:szCs w:val="24"/>
          <w:highlight w:val="none"/>
        </w:rPr>
        <w:t>如果出现</w:t>
      </w:r>
      <w:r>
        <w:rPr>
          <w:rFonts w:hint="eastAsia" w:ascii="宋体" w:hAnsi="宋体" w:eastAsia="宋体" w:cs="宋体"/>
          <w:color w:val="000000"/>
          <w:sz w:val="24"/>
          <w:szCs w:val="24"/>
          <w:highlight w:val="none"/>
          <w:lang w:eastAsia="zh-CN"/>
        </w:rPr>
        <w:t>相关</w:t>
      </w:r>
      <w:r>
        <w:rPr>
          <w:rFonts w:hint="eastAsia" w:ascii="宋体" w:hAnsi="宋体" w:eastAsia="宋体" w:cs="宋体"/>
          <w:color w:val="000000"/>
          <w:sz w:val="24"/>
          <w:szCs w:val="24"/>
          <w:highlight w:val="none"/>
        </w:rPr>
        <w:t>监督管理部门在处理投诉事项期间，书面通知甲方暂停采购活动的情形，或者询问或质疑事项可能影响中标结果的，导致甲方中止履行合同的情形，均不视为甲方违约。</w:t>
      </w:r>
    </w:p>
    <w:p w14:paraId="6D21308B">
      <w:r>
        <w:rPr>
          <w:rFonts w:hint="eastAsia" w:ascii="宋体" w:hAnsi="宋体" w:eastAsia="宋体" w:cs="宋体"/>
          <w:color w:val="000000"/>
          <w:sz w:val="24"/>
          <w:szCs w:val="24"/>
          <w:highlight w:val="none"/>
          <w:lang w:eastAsia="zh-CN"/>
        </w:rPr>
        <w:t>⑦</w:t>
      </w:r>
      <w:r>
        <w:rPr>
          <w:rFonts w:hint="eastAsia" w:ascii="宋体" w:hAnsi="宋体" w:eastAsia="宋体" w:cs="宋体"/>
          <w:color w:val="000000"/>
          <w:sz w:val="24"/>
          <w:szCs w:val="24"/>
          <w:highlight w:val="none"/>
        </w:rPr>
        <w:t>凡因履行本协议导致的纠纷由双方本着诚信、友好之原则积极协商，如协商无果，可向</w:t>
      </w: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rPr>
        <w:t>所在地有管辖权的人民法院提起诉讼。</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 w:name="Tms Rmn">
    <w:altName w:val="Segoe Print"/>
    <w:panose1 w:val="02020603040505020304"/>
    <w:charset w:val="00"/>
    <w:family w:val="roman"/>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C81379"/>
    <w:multiLevelType w:val="multilevel"/>
    <w:tmpl w:val="71C81379"/>
    <w:lvl w:ilvl="0" w:tentative="0">
      <w:start w:val="1"/>
      <w:numFmt w:val="chineseCounting"/>
      <w:pStyle w:val="3"/>
      <w:suff w:val="nothing"/>
      <w:lvlText w:val="第%1章 "/>
      <w:lvlJc w:val="left"/>
      <w:pPr>
        <w:ind w:left="432" w:hanging="432"/>
      </w:pPr>
      <w:rPr>
        <w:rFonts w:hint="eastAsia"/>
      </w:rPr>
    </w:lvl>
    <w:lvl w:ilvl="1" w:tentative="0">
      <w:start w:val="1"/>
      <w:numFmt w:val="decimal"/>
      <w:pStyle w:val="4"/>
      <w:isLgl/>
      <w:lvlText w:val="%1.%2."/>
      <w:lvlJc w:val="left"/>
      <w:pPr>
        <w:ind w:left="575" w:hanging="575"/>
      </w:pPr>
      <w:rPr>
        <w:rFonts w:hint="eastAsia"/>
      </w:rPr>
    </w:lvl>
    <w:lvl w:ilvl="2" w:tentative="0">
      <w:start w:val="1"/>
      <w:numFmt w:val="decimal"/>
      <w:pStyle w:val="5"/>
      <w:isLgl/>
      <w:lvlText w:val="%1.%2.%3."/>
      <w:lvlJc w:val="left"/>
      <w:pPr>
        <w:ind w:left="1200" w:hanging="720"/>
      </w:pPr>
      <w:rPr>
        <w:rFonts w:hint="eastAsia"/>
      </w:rPr>
    </w:lvl>
    <w:lvl w:ilvl="3" w:tentative="0">
      <w:start w:val="1"/>
      <w:numFmt w:val="decimal"/>
      <w:pStyle w:val="6"/>
      <w:isLgl/>
      <w:lvlText w:val="%1.%2.%3.%4."/>
      <w:lvlJc w:val="left"/>
      <w:pPr>
        <w:ind w:left="864" w:hanging="864"/>
      </w:pPr>
      <w:rPr>
        <w:rFonts w:hint="eastAsia"/>
      </w:rPr>
    </w:lvl>
    <w:lvl w:ilvl="4" w:tentative="0">
      <w:start w:val="1"/>
      <w:numFmt w:val="decimal"/>
      <w:pStyle w:val="7"/>
      <w:isLgl/>
      <w:lvlText w:val="%1.%2.%3.%4.%5."/>
      <w:lvlJc w:val="left"/>
      <w:pPr>
        <w:ind w:left="1008" w:hanging="1008"/>
      </w:pPr>
      <w:rPr>
        <w:rFonts w:hint="eastAsia"/>
      </w:rPr>
    </w:lvl>
    <w:lvl w:ilvl="5" w:tentative="0">
      <w:start w:val="1"/>
      <w:numFmt w:val="decimal"/>
      <w:pStyle w:val="8"/>
      <w:isLgl/>
      <w:lvlText w:val="%1.%2.%3.%4.%5.%6."/>
      <w:lvlJc w:val="left"/>
      <w:pPr>
        <w:ind w:left="1151" w:hanging="1151"/>
      </w:pPr>
      <w:rPr>
        <w:rFonts w:hint="eastAsia"/>
      </w:rPr>
    </w:lvl>
    <w:lvl w:ilvl="6" w:tentative="0">
      <w:start w:val="1"/>
      <w:numFmt w:val="decimal"/>
      <w:pStyle w:val="9"/>
      <w:isLgl/>
      <w:lvlText w:val="%1.%2.%3.%4.%5.%6.%7."/>
      <w:lvlJc w:val="left"/>
      <w:pPr>
        <w:ind w:left="1296" w:hanging="1296"/>
      </w:pPr>
      <w:rPr>
        <w:rFonts w:hint="eastAsia"/>
      </w:rPr>
    </w:lvl>
    <w:lvl w:ilvl="7" w:tentative="0">
      <w:start w:val="1"/>
      <w:numFmt w:val="decimal"/>
      <w:pStyle w:val="10"/>
      <w:isLgl/>
      <w:lvlText w:val="%1.%2.%3.%4.%5.%6.%7.%8."/>
      <w:lvlJc w:val="left"/>
      <w:pPr>
        <w:ind w:left="1440" w:hanging="1440"/>
      </w:pPr>
      <w:rPr>
        <w:rFonts w:hint="eastAsia"/>
      </w:rPr>
    </w:lvl>
    <w:lvl w:ilvl="8" w:tentative="0">
      <w:start w:val="1"/>
      <w:numFmt w:val="decimal"/>
      <w:pStyle w:val="11"/>
      <w:isLgl/>
      <w:lvlText w:val="%1.%2.%3.%4.%5.%6.%7.%8.%9."/>
      <w:lvlJc w:val="left"/>
      <w:pPr>
        <w:ind w:left="1583" w:hanging="1583"/>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1B030B"/>
    <w:rsid w:val="014378B5"/>
    <w:rsid w:val="03892C19"/>
    <w:rsid w:val="067F3790"/>
    <w:rsid w:val="07E97649"/>
    <w:rsid w:val="086B2B4D"/>
    <w:rsid w:val="0A451171"/>
    <w:rsid w:val="0A5C1C55"/>
    <w:rsid w:val="0C1C0B5B"/>
    <w:rsid w:val="0CE52F54"/>
    <w:rsid w:val="15CD7994"/>
    <w:rsid w:val="168807F8"/>
    <w:rsid w:val="1A54302F"/>
    <w:rsid w:val="1AE8037D"/>
    <w:rsid w:val="1D910DBE"/>
    <w:rsid w:val="1ED470C8"/>
    <w:rsid w:val="1F5B20EB"/>
    <w:rsid w:val="1F73216A"/>
    <w:rsid w:val="1F7927BA"/>
    <w:rsid w:val="24040D55"/>
    <w:rsid w:val="27FB439C"/>
    <w:rsid w:val="34491A66"/>
    <w:rsid w:val="382464C9"/>
    <w:rsid w:val="397562A2"/>
    <w:rsid w:val="444B414F"/>
    <w:rsid w:val="449F7F44"/>
    <w:rsid w:val="45521815"/>
    <w:rsid w:val="46F10733"/>
    <w:rsid w:val="481B6721"/>
    <w:rsid w:val="4A0F2CAA"/>
    <w:rsid w:val="4C100852"/>
    <w:rsid w:val="50D44533"/>
    <w:rsid w:val="549C2EAE"/>
    <w:rsid w:val="56F03BE4"/>
    <w:rsid w:val="57F85EA2"/>
    <w:rsid w:val="5AC672ED"/>
    <w:rsid w:val="5C024FAB"/>
    <w:rsid w:val="5C1A0D10"/>
    <w:rsid w:val="5EDA5746"/>
    <w:rsid w:val="638964ED"/>
    <w:rsid w:val="639B0F4B"/>
    <w:rsid w:val="63BF3EE2"/>
    <w:rsid w:val="6517462E"/>
    <w:rsid w:val="66C3416F"/>
    <w:rsid w:val="691B030B"/>
    <w:rsid w:val="6B5774E1"/>
    <w:rsid w:val="6C0A342D"/>
    <w:rsid w:val="6DBA7147"/>
    <w:rsid w:val="70EC5301"/>
    <w:rsid w:val="71C717CB"/>
    <w:rsid w:val="728512DC"/>
    <w:rsid w:val="75992B6F"/>
    <w:rsid w:val="75C54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34"/>
      <w:szCs w:val="22"/>
      <w:lang w:val="en-US" w:eastAsia="zh-CN" w:bidi="ar-SA"/>
    </w:rPr>
  </w:style>
  <w:style w:type="paragraph" w:styleId="3">
    <w:name w:val="heading 1"/>
    <w:basedOn w:val="1"/>
    <w:next w:val="1"/>
    <w:link w:val="16"/>
    <w:qFormat/>
    <w:uiPriority w:val="0"/>
    <w:pPr>
      <w:numPr>
        <w:ilvl w:val="0"/>
        <w:numId w:val="1"/>
      </w:numPr>
      <w:tabs>
        <w:tab w:val="left" w:pos="0"/>
      </w:tabs>
      <w:spacing w:before="0" w:beforeAutospacing="1" w:after="-2147483648" w:afterAutospacing="1"/>
      <w:ind w:left="0" w:firstLine="0"/>
      <w:jc w:val="center"/>
      <w:outlineLvl w:val="0"/>
    </w:pPr>
    <w:rPr>
      <w:rFonts w:hint="eastAsia" w:ascii="宋体" w:hAnsi="宋体" w:eastAsia="宋体" w:cs="宋体"/>
      <w:b/>
      <w:bCs/>
      <w:kern w:val="44"/>
      <w:sz w:val="32"/>
      <w:szCs w:val="48"/>
      <w:lang w:bidi="ar"/>
    </w:rPr>
  </w:style>
  <w:style w:type="paragraph" w:styleId="4">
    <w:name w:val="heading 2"/>
    <w:basedOn w:val="1"/>
    <w:next w:val="1"/>
    <w:semiHidden/>
    <w:unhideWhenUsed/>
    <w:qFormat/>
    <w:uiPriority w:val="0"/>
    <w:pPr>
      <w:keepNext/>
      <w:keepLines/>
      <w:numPr>
        <w:ilvl w:val="1"/>
        <w:numId w:val="1"/>
      </w:numPr>
      <w:spacing w:line="240" w:lineRule="auto"/>
      <w:ind w:left="575" w:hanging="575"/>
      <w:jc w:val="center"/>
      <w:outlineLvl w:val="1"/>
    </w:pPr>
    <w:rPr>
      <w:rFonts w:ascii="Times New Roman" w:hAnsi="Times New Roman" w:eastAsia="宋体" w:cs="Times New Roman"/>
      <w:b/>
      <w:sz w:val="28"/>
      <w:szCs w:val="22"/>
    </w:rPr>
  </w:style>
  <w:style w:type="paragraph" w:styleId="5">
    <w:name w:val="heading 3"/>
    <w:basedOn w:val="1"/>
    <w:next w:val="1"/>
    <w:semiHidden/>
    <w:unhideWhenUsed/>
    <w:qFormat/>
    <w:uiPriority w:val="0"/>
    <w:pPr>
      <w:keepNext/>
      <w:keepLines/>
      <w:numPr>
        <w:ilvl w:val="2"/>
        <w:numId w:val="1"/>
      </w:numPr>
      <w:spacing w:line="240" w:lineRule="auto"/>
      <w:ind w:left="1200" w:hanging="720"/>
      <w:outlineLvl w:val="2"/>
    </w:pPr>
    <w:rPr>
      <w:rFonts w:ascii="Times New Roman" w:hAnsi="Times New Roman" w:eastAsia="宋体" w:cs="Calibri"/>
      <w:b/>
      <w:sz w:val="28"/>
      <w:szCs w:val="22"/>
    </w:rPr>
  </w:style>
  <w:style w:type="paragraph" w:styleId="6">
    <w:name w:val="heading 4"/>
    <w:basedOn w:val="1"/>
    <w:next w:val="1"/>
    <w:semiHidden/>
    <w:unhideWhenUsed/>
    <w:qFormat/>
    <w:uiPriority w:val="0"/>
    <w:pPr>
      <w:keepNext/>
      <w:keepLines/>
      <w:numPr>
        <w:ilvl w:val="3"/>
        <w:numId w:val="1"/>
      </w:numPr>
      <w:spacing w:before="280" w:beforeLines="0" w:beforeAutospacing="0" w:after="290" w:afterLines="0" w:afterAutospacing="0" w:line="372" w:lineRule="auto"/>
      <w:ind w:left="864" w:hanging="864"/>
      <w:jc w:val="center"/>
      <w:outlineLvl w:val="3"/>
    </w:pPr>
    <w:rPr>
      <w:rFonts w:ascii="Arial" w:hAnsi="Arial" w:eastAsia="宋体"/>
      <w:b/>
      <w:sz w:val="24"/>
    </w:rPr>
  </w:style>
  <w:style w:type="paragraph" w:styleId="7">
    <w:name w:val="heading 5"/>
    <w:basedOn w:val="1"/>
    <w:next w:val="1"/>
    <w:semiHidden/>
    <w:unhideWhenUsed/>
    <w:qFormat/>
    <w:uiPriority w:val="0"/>
    <w:pPr>
      <w:keepNext/>
      <w:keepLines/>
      <w:numPr>
        <w:ilvl w:val="4"/>
        <w:numId w:val="1"/>
      </w:numPr>
      <w:spacing w:before="280" w:beforeLines="0" w:beforeAutospacing="0" w:after="290" w:afterLines="0" w:afterAutospacing="0" w:line="372" w:lineRule="auto"/>
      <w:ind w:left="1008" w:hanging="1008"/>
      <w:outlineLvl w:val="4"/>
    </w:pPr>
    <w:rPr>
      <w:b/>
      <w:sz w:val="28"/>
    </w:rPr>
  </w:style>
  <w:style w:type="paragraph" w:styleId="8">
    <w:name w:val="heading 6"/>
    <w:basedOn w:val="1"/>
    <w:next w:val="1"/>
    <w:semiHidden/>
    <w:unhideWhenUsed/>
    <w:qFormat/>
    <w:uiPriority w:val="0"/>
    <w:pPr>
      <w:keepNext/>
      <w:keepLines/>
      <w:numPr>
        <w:ilvl w:val="5"/>
        <w:numId w:val="1"/>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1"/>
      </w:numPr>
      <w:spacing w:before="240" w:beforeLines="0" w:beforeAutospacing="0" w:after="64" w:afterLines="0" w:afterAutospacing="0" w:line="317" w:lineRule="auto"/>
      <w:ind w:left="1296" w:hanging="1296"/>
      <w:outlineLvl w:val="6"/>
    </w:pPr>
    <w:rPr>
      <w:b/>
      <w:sz w:val="24"/>
    </w:rPr>
  </w:style>
  <w:style w:type="paragraph" w:styleId="10">
    <w:name w:val="heading 8"/>
    <w:basedOn w:val="1"/>
    <w:next w:val="1"/>
    <w:semiHidden/>
    <w:unhideWhenUsed/>
    <w:qFormat/>
    <w:uiPriority w:val="0"/>
    <w:pPr>
      <w:keepNext/>
      <w:keepLines/>
      <w:numPr>
        <w:ilvl w:val="7"/>
        <w:numId w:val="1"/>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1"/>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华文中宋" w:eastAsia="华文中宋"/>
      <w:bCs/>
      <w:sz w:val="28"/>
    </w:rPr>
  </w:style>
  <w:style w:type="paragraph" w:styleId="12">
    <w:name w:val="Body Text Indent"/>
    <w:basedOn w:val="1"/>
    <w:qFormat/>
    <w:uiPriority w:val="0"/>
    <w:pPr>
      <w:ind w:firstLine="630"/>
    </w:pPr>
    <w:rPr>
      <w:sz w:val="32"/>
      <w:szCs w:val="20"/>
    </w:rPr>
  </w:style>
  <w:style w:type="paragraph" w:styleId="13">
    <w:name w:val="Plain Text"/>
    <w:basedOn w:val="1"/>
    <w:next w:val="1"/>
    <w:qFormat/>
    <w:uiPriority w:val="0"/>
    <w:rPr>
      <w:rFonts w:ascii="宋体" w:hAnsi="Courier New"/>
    </w:rPr>
  </w:style>
  <w:style w:type="character" w:customStyle="1" w:styleId="16">
    <w:name w:val="标题 1 Char"/>
    <w:link w:val="3"/>
    <w:qFormat/>
    <w:uiPriority w:val="0"/>
    <w:rPr>
      <w:rFonts w:hint="eastAsia" w:ascii="宋体" w:hAnsi="宋体" w:eastAsia="宋体" w:cs="宋体"/>
      <w:b/>
      <w:bCs/>
      <w:kern w:val="44"/>
      <w:sz w:val="32"/>
      <w:szCs w:val="48"/>
      <w:lang w:val="en-US" w:eastAsia="zh-CN" w:bidi="ar"/>
    </w:rPr>
  </w:style>
  <w:style w:type="paragraph" w:customStyle="1" w:styleId="17">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8">
    <w:name w:val="null3"/>
    <w:uiPriority w:val="0"/>
    <w:rPr>
      <w:rFonts w:hint="eastAsia" w:ascii="Calibri" w:hAnsi="Calibri" w:eastAsia="宋体" w:cs="Times New Roman"/>
      <w:lang w:val="en-US" w:eastAsia="zh-Han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2025-04-18T08:45:00Z</dcterms:created>
  <dc:creator>WPS_1698997858</dc:creator>
  <cp:lastModifiedBy>WPS_1698997858</cp:lastModifiedBy>
  <dcterms:modified xsi:type="dcterms:W3CDTF">2025-04-18T08:45:52Z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D178ECD3452D43348507D8D74D1E861F_11</vt:lpwstr>
  </property>
  <property fmtid="{D5CDD505-2E9C-101B-9397-08002B2CF9AE}" pid="4" name="KSOTemplateDocerSaveRecord">
    <vt:lpwstr>eyJoZGlkIjoiOTRkMzk4ODRjYjI2NTE5YzU0YTNlODE4MjkzMDU2ZDQiLCJ1c2VySWQiOiIxNTU0NDA5ODc2In0=</vt:lpwstr>
  </property>
</Properties>
</file>