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29F7F3">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2" w:firstLineChars="200"/>
        <w:textAlignment w:val="auto"/>
        <w:outlineLvl w:val="9"/>
        <w:rPr>
          <w:rFonts w:hint="default" w:ascii="宋体" w:hAnsi="宋体" w:eastAsia="宋体" w:cs="宋体"/>
          <w:b/>
          <w:bCs/>
          <w:color w:val="auto"/>
          <w:sz w:val="24"/>
          <w:szCs w:val="24"/>
          <w:highlight w:val="none"/>
          <w:lang w:val="en-US" w:eastAsia="zh-CN"/>
        </w:rPr>
      </w:pPr>
      <w:r>
        <w:rPr>
          <w:rFonts w:hint="default" w:ascii="宋体" w:hAnsi="宋体" w:eastAsia="宋体" w:cs="宋体"/>
          <w:b/>
          <w:bCs/>
          <w:color w:val="auto"/>
          <w:sz w:val="24"/>
          <w:szCs w:val="24"/>
          <w:highlight w:val="none"/>
          <w:lang w:val="en-US" w:eastAsia="zh-CN"/>
        </w:rPr>
        <w:t>一、采购项目概况</w:t>
      </w:r>
    </w:p>
    <w:p w14:paraId="609D4765">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textAlignment w:val="auto"/>
        <w:outlineLvl w:val="9"/>
        <w:rPr>
          <w:rFonts w:hint="default" w:ascii="宋体" w:hAnsi="宋体" w:eastAsia="宋体" w:cs="宋体"/>
          <w:b w:val="0"/>
          <w:bCs w:val="0"/>
          <w:color w:val="auto"/>
          <w:sz w:val="24"/>
          <w:szCs w:val="24"/>
          <w:highlight w:val="none"/>
          <w:lang w:val="en-US" w:eastAsia="zh-CN"/>
        </w:rPr>
      </w:pPr>
      <w:r>
        <w:rPr>
          <w:rFonts w:hint="default" w:ascii="宋体" w:hAnsi="宋体" w:eastAsia="宋体" w:cs="宋体"/>
          <w:b w:val="0"/>
          <w:bCs w:val="0"/>
          <w:color w:val="auto"/>
          <w:sz w:val="24"/>
          <w:szCs w:val="24"/>
          <w:highlight w:val="none"/>
          <w:lang w:val="en-US" w:eastAsia="zh-CN"/>
        </w:rPr>
        <w:t>本项目共1个包，采购搬运服务供应商一名。服务范围包含采购人指定地点的搬运服务，服务内容包括大宗物资及设备的搬运，集装箱院内调转安置，各部门的待报废物资、报废物资的转运及其它物资的搬运，办公家具拆卸和安装等，工具涉及货运车辆、叉车、吊车等。</w:t>
      </w:r>
    </w:p>
    <w:p w14:paraId="2EDB69E9">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2" w:firstLineChars="200"/>
        <w:textAlignment w:val="auto"/>
        <w:outlineLvl w:val="1"/>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二、</w:t>
      </w:r>
      <w:r>
        <w:rPr>
          <w:rFonts w:hint="eastAsia" w:ascii="宋体" w:hAnsi="宋体" w:eastAsia="宋体" w:cs="宋体"/>
          <w:b/>
          <w:bCs/>
          <w:color w:val="auto"/>
          <w:sz w:val="24"/>
          <w:szCs w:val="24"/>
          <w:highlight w:val="none"/>
        </w:rPr>
        <w:t>服务内容</w:t>
      </w:r>
    </w:p>
    <w:p w14:paraId="3BB8789D">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★1、供应商按采购人要求提供</w:t>
      </w:r>
      <w:r>
        <w:rPr>
          <w:rFonts w:hint="eastAsia" w:ascii="宋体" w:hAnsi="宋体" w:eastAsia="宋体" w:cs="宋体"/>
          <w:color w:val="auto"/>
          <w:sz w:val="24"/>
          <w:szCs w:val="24"/>
          <w:highlight w:val="none"/>
          <w:lang w:val="en-US" w:eastAsia="zh-CN"/>
        </w:rPr>
        <w:t>搬运服务，</w:t>
      </w:r>
      <w:r>
        <w:rPr>
          <w:rFonts w:hint="eastAsia" w:ascii="宋体" w:hAnsi="宋体" w:eastAsia="宋体" w:cs="宋体"/>
          <w:color w:val="auto"/>
          <w:sz w:val="24"/>
          <w:szCs w:val="24"/>
          <w:highlight w:val="none"/>
        </w:rPr>
        <w:t>具体搬运时间接医院通知后按要求执行，整个搬迁过程可能涉及夜间</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通宵</w:t>
      </w:r>
      <w:r>
        <w:rPr>
          <w:rFonts w:hint="eastAsia" w:ascii="宋体" w:hAnsi="宋体" w:eastAsia="宋体" w:cs="宋体"/>
          <w:color w:val="auto"/>
          <w:sz w:val="24"/>
          <w:szCs w:val="24"/>
          <w:highlight w:val="none"/>
        </w:rPr>
        <w:t>搬运</w:t>
      </w:r>
      <w:r>
        <w:rPr>
          <w:rFonts w:hint="eastAsia" w:ascii="宋体" w:hAnsi="宋体" w:eastAsia="宋体" w:cs="宋体"/>
          <w:color w:val="auto"/>
          <w:sz w:val="24"/>
          <w:szCs w:val="24"/>
          <w:highlight w:val="none"/>
          <w:lang w:eastAsia="zh-CN"/>
        </w:rPr>
        <w:t>。</w:t>
      </w:r>
    </w:p>
    <w:p w14:paraId="2A9FEF81">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★2、供应商应遵守医院的管理制度，接受相关</w:t>
      </w:r>
      <w:r>
        <w:rPr>
          <w:rFonts w:hint="eastAsia" w:ascii="宋体" w:hAnsi="宋体" w:eastAsia="宋体" w:cs="宋体"/>
          <w:color w:val="auto"/>
          <w:sz w:val="24"/>
          <w:szCs w:val="24"/>
          <w:highlight w:val="none"/>
          <w:lang w:val="en-US" w:eastAsia="zh-CN"/>
        </w:rPr>
        <w:t>使用</w:t>
      </w:r>
      <w:r>
        <w:rPr>
          <w:rFonts w:hint="eastAsia" w:ascii="宋体" w:hAnsi="宋体" w:eastAsia="宋体" w:cs="宋体"/>
          <w:color w:val="auto"/>
          <w:sz w:val="24"/>
          <w:szCs w:val="24"/>
          <w:highlight w:val="none"/>
        </w:rPr>
        <w:t>部门</w:t>
      </w:r>
      <w:r>
        <w:rPr>
          <w:rFonts w:hint="eastAsia" w:ascii="宋体" w:hAnsi="宋体" w:eastAsia="宋体" w:cs="宋体"/>
          <w:color w:val="auto"/>
          <w:sz w:val="24"/>
          <w:szCs w:val="24"/>
          <w:highlight w:val="none"/>
          <w:lang w:val="en-US" w:eastAsia="zh-CN"/>
        </w:rPr>
        <w:t>和管理部门</w:t>
      </w:r>
      <w:r>
        <w:rPr>
          <w:rFonts w:hint="eastAsia" w:ascii="宋体" w:hAnsi="宋体" w:eastAsia="宋体" w:cs="宋体"/>
          <w:color w:val="auto"/>
          <w:sz w:val="24"/>
          <w:szCs w:val="24"/>
          <w:highlight w:val="none"/>
        </w:rPr>
        <w:t>的业务指导和监督，不得就本项目服务内容进行分包或者变相分包，不得因人员、设备、工具不足或性能不良等原因影响医院的搬运计划。</w:t>
      </w:r>
    </w:p>
    <w:p w14:paraId="78B3F973">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供应商应提前对现场进行踏勘，熟悉搬运环境和路线，确保搬运服务按计划进行。</w:t>
      </w:r>
    </w:p>
    <w:p w14:paraId="03A040C6">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、搬运过程中，根据物品分类进行搬运、堆放，轻拿轻放，应小心与墙面、地面、吊顶、门窗玻璃等碰撞。如发现因搬运不当导致物品</w:t>
      </w:r>
      <w:r>
        <w:rPr>
          <w:rFonts w:hint="eastAsia" w:ascii="宋体" w:hAnsi="宋体" w:eastAsia="宋体" w:cs="宋体"/>
          <w:color w:val="auto"/>
          <w:sz w:val="24"/>
          <w:szCs w:val="24"/>
          <w:highlight w:val="none"/>
          <w:lang w:val="en-US" w:eastAsia="zh-CN"/>
        </w:rPr>
        <w:t>丢失损坏或设施设备</w:t>
      </w:r>
      <w:r>
        <w:rPr>
          <w:rFonts w:hint="eastAsia" w:ascii="宋体" w:hAnsi="宋体" w:eastAsia="宋体" w:cs="宋体"/>
          <w:color w:val="auto"/>
          <w:sz w:val="24"/>
          <w:szCs w:val="24"/>
          <w:highlight w:val="none"/>
        </w:rPr>
        <w:t>损坏，可修复的供应商负责修复，无法修复或丢失的，由供应商赔付。</w:t>
      </w:r>
      <w:r>
        <w:rPr>
          <w:rFonts w:hint="eastAsia" w:ascii="宋体" w:hAnsi="宋体" w:eastAsia="宋体" w:cs="宋体"/>
          <w:b/>
          <w:bCs/>
          <w:color w:val="auto"/>
          <w:sz w:val="24"/>
          <w:szCs w:val="24"/>
          <w:highlight w:val="none"/>
        </w:rPr>
        <w:t>（供应商须单独提供承诺函）</w:t>
      </w:r>
    </w:p>
    <w:p w14:paraId="661ADEA8">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b/>
          <w:bCs/>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供应商为本项目配备的所有工作人员须统一着装（具有明显公司名称标识）、佩戴工作证，工作人员应认真负责、服务态度好、言行文明；工作人员应进行业务培训，熟悉搬运要求，不得隐瞒、虚报，不得向采购人提供虚假信息。供应商应确保在搬迁过程中的所有驾驶人员、特种行业操作人员（若有）需持证上岗，严禁违规操作。采购人有权进行监督，对于搬迁过程中出现违规操作采购人有权要求供应商立即整改到位。</w:t>
      </w:r>
      <w:r>
        <w:rPr>
          <w:rFonts w:hint="eastAsia" w:ascii="宋体" w:hAnsi="宋体" w:eastAsia="宋体" w:cs="宋体"/>
          <w:b/>
          <w:bCs/>
          <w:color w:val="auto"/>
          <w:sz w:val="24"/>
          <w:szCs w:val="24"/>
          <w:highlight w:val="none"/>
        </w:rPr>
        <w:t>（供应商须单独提供承诺函）</w:t>
      </w:r>
    </w:p>
    <w:p w14:paraId="42E778D5">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运输车辆采用合法的运营车辆运输；提前对车辆进行检查，确保车辆运行正常、安全，保证搬运物品的正常运输。每辆车应配备必要的搬运工具，如绳索、托盘、叉车（根据车型和搬运需求）等，以确保物品的安全搬运。</w:t>
      </w:r>
    </w:p>
    <w:p w14:paraId="6C7BAA2D">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、装车时，合理安排物品的码放顺序，每辆车配备专用垫布、毛毯，对物品之间做好隔层保护，防止车辆在运输过程中产生碰撞损坏</w:t>
      </w:r>
      <w:r>
        <w:rPr>
          <w:rFonts w:hint="eastAsia" w:ascii="宋体" w:hAnsi="宋体" w:eastAsia="宋体" w:cs="宋体"/>
          <w:color w:val="auto"/>
          <w:sz w:val="24"/>
          <w:szCs w:val="24"/>
          <w:highlight w:val="none"/>
          <w:lang w:eastAsia="zh-CN"/>
        </w:rPr>
        <w:t>。</w:t>
      </w:r>
    </w:p>
    <w:p w14:paraId="3BE52F2A">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、车辆装好后，根据项目规划的指定路线行驶至下货地点，保证车辆的安全、平稳运行，按照采购人要求将全部物品搬运至指定区域对物品进行摆放，确保搬运一次到位，有序摆放。</w:t>
      </w:r>
    </w:p>
    <w:p w14:paraId="5B19EE15">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、在搬运结束后，</w:t>
      </w:r>
      <w:r>
        <w:rPr>
          <w:rFonts w:hint="eastAsia" w:ascii="宋体" w:hAnsi="宋体" w:eastAsia="宋体" w:cs="宋体"/>
          <w:color w:val="auto"/>
          <w:sz w:val="24"/>
          <w:szCs w:val="24"/>
          <w:highlight w:val="none"/>
          <w:lang w:eastAsia="zh-CN"/>
        </w:rPr>
        <w:t>供应商</w:t>
      </w:r>
      <w:r>
        <w:rPr>
          <w:rFonts w:hint="eastAsia" w:ascii="宋体" w:hAnsi="宋体" w:eastAsia="宋体" w:cs="宋体"/>
          <w:color w:val="auto"/>
          <w:sz w:val="24"/>
          <w:szCs w:val="24"/>
          <w:highlight w:val="none"/>
        </w:rPr>
        <w:t>应对</w:t>
      </w:r>
      <w:r>
        <w:rPr>
          <w:rFonts w:hint="eastAsia" w:ascii="宋体" w:hAnsi="宋体" w:eastAsia="宋体" w:cs="宋体"/>
          <w:color w:val="auto"/>
          <w:sz w:val="24"/>
          <w:szCs w:val="24"/>
          <w:highlight w:val="none"/>
          <w:lang w:eastAsia="zh-CN"/>
        </w:rPr>
        <w:t>采购人</w:t>
      </w:r>
      <w:r>
        <w:rPr>
          <w:rFonts w:hint="eastAsia" w:ascii="宋体" w:hAnsi="宋体" w:eastAsia="宋体" w:cs="宋体"/>
          <w:color w:val="auto"/>
          <w:sz w:val="24"/>
          <w:szCs w:val="24"/>
          <w:highlight w:val="none"/>
        </w:rPr>
        <w:t>的搬运现场进行清理，指派专人负责对保护材料进行回收、清理，保证搬运现场无垃圾遗留，确保搬运现场区域内的环境干净、卫生、整洁。</w:t>
      </w:r>
    </w:p>
    <w:p w14:paraId="41C5D004">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10</w:t>
      </w:r>
      <w:r>
        <w:rPr>
          <w:rFonts w:hint="eastAsia" w:ascii="宋体" w:hAnsi="宋体" w:eastAsia="宋体" w:cs="宋体"/>
          <w:color w:val="auto"/>
          <w:sz w:val="24"/>
          <w:szCs w:val="24"/>
          <w:highlight w:val="none"/>
        </w:rPr>
        <w:t>、响应速度：接到</w:t>
      </w:r>
      <w:r>
        <w:rPr>
          <w:rFonts w:hint="eastAsia" w:ascii="宋体" w:hAnsi="宋体" w:eastAsia="宋体" w:cs="宋体"/>
          <w:color w:val="auto"/>
          <w:sz w:val="24"/>
          <w:szCs w:val="24"/>
          <w:highlight w:val="none"/>
          <w:lang w:eastAsia="zh-CN"/>
        </w:rPr>
        <w:t>采购人</w:t>
      </w:r>
      <w:r>
        <w:rPr>
          <w:rFonts w:hint="eastAsia" w:ascii="宋体" w:hAnsi="宋体" w:eastAsia="宋体" w:cs="宋体"/>
          <w:color w:val="auto"/>
          <w:sz w:val="24"/>
          <w:szCs w:val="24"/>
          <w:highlight w:val="none"/>
        </w:rPr>
        <w:t>搬运通知后2小时内做出响应，并在接到通知后4小时内安排搬运；且</w:t>
      </w:r>
      <w:r>
        <w:rPr>
          <w:rFonts w:hint="eastAsia" w:ascii="宋体" w:hAnsi="宋体" w:eastAsia="宋体" w:cs="宋体"/>
          <w:color w:val="auto"/>
          <w:sz w:val="24"/>
          <w:szCs w:val="24"/>
          <w:highlight w:val="none"/>
          <w:lang w:eastAsia="zh-CN"/>
        </w:rPr>
        <w:t>供应商</w:t>
      </w:r>
      <w:r>
        <w:rPr>
          <w:rFonts w:hint="eastAsia" w:ascii="宋体" w:hAnsi="宋体" w:eastAsia="宋体" w:cs="宋体"/>
          <w:color w:val="auto"/>
          <w:sz w:val="24"/>
          <w:szCs w:val="24"/>
          <w:highlight w:val="none"/>
        </w:rPr>
        <w:t>保证能够24小时作业。</w:t>
      </w:r>
    </w:p>
    <w:p w14:paraId="3C10AC6B">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11</w:t>
      </w:r>
      <w:r>
        <w:rPr>
          <w:rFonts w:hint="eastAsia" w:ascii="宋体" w:hAnsi="宋体" w:eastAsia="宋体" w:cs="宋体"/>
          <w:color w:val="auto"/>
          <w:sz w:val="24"/>
          <w:szCs w:val="24"/>
          <w:highlight w:val="none"/>
        </w:rPr>
        <w:t>、搬运人员要求：</w:t>
      </w:r>
    </w:p>
    <w:p w14:paraId="4DA1E7BF">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11.1</w:t>
      </w:r>
      <w:r>
        <w:rPr>
          <w:rFonts w:hint="eastAsia" w:ascii="宋体" w:hAnsi="宋体" w:eastAsia="宋体" w:cs="宋体"/>
          <w:color w:val="auto"/>
          <w:sz w:val="24"/>
          <w:szCs w:val="24"/>
          <w:highlight w:val="none"/>
        </w:rPr>
        <w:t xml:space="preserve">本服务项目供应商投入充足的人力以保证基本岗位需求、满足项目要求、 确保服务质量为准，人员数≥10 人。 </w:t>
      </w:r>
    </w:p>
    <w:p w14:paraId="1194E911">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11</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 xml:space="preserve">所有操作人员身体行为正常、无违法犯罪前科、适应医院工作环境；100% 经过岗前或在岗培训，能独立上岗。 </w:t>
      </w:r>
    </w:p>
    <w:p w14:paraId="1C790CC2">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11</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 xml:space="preserve"> 服务人员年龄要求</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符合国家就业年龄相关规定</w:t>
      </w:r>
      <w:r>
        <w:rPr>
          <w:rFonts w:hint="eastAsia" w:ascii="宋体" w:hAnsi="宋体" w:eastAsia="宋体" w:cs="宋体"/>
          <w:color w:val="auto"/>
          <w:sz w:val="24"/>
          <w:szCs w:val="24"/>
          <w:highlight w:val="none"/>
        </w:rPr>
        <w:t>。</w:t>
      </w:r>
    </w:p>
    <w:p w14:paraId="075BD060">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12、</w:t>
      </w:r>
      <w:r>
        <w:rPr>
          <w:rFonts w:hint="eastAsia" w:ascii="宋体" w:hAnsi="宋体" w:eastAsia="宋体" w:cs="宋体"/>
          <w:color w:val="auto"/>
          <w:sz w:val="24"/>
          <w:szCs w:val="24"/>
          <w:highlight w:val="none"/>
        </w:rPr>
        <w:t>运输距离以“高德地图”或“百度地图”规划的最短驾驶距离为准。</w:t>
      </w:r>
    </w:p>
    <w:p w14:paraId="2312126F">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eastAsia="zh-CN"/>
        </w:rPr>
        <w:t>供应商</w:t>
      </w:r>
      <w:r>
        <w:rPr>
          <w:rFonts w:hint="eastAsia" w:ascii="宋体" w:hAnsi="宋体" w:eastAsia="宋体" w:cs="宋体"/>
          <w:color w:val="auto"/>
          <w:sz w:val="24"/>
          <w:szCs w:val="24"/>
          <w:highlight w:val="none"/>
        </w:rPr>
        <w:t>需结合本项目采购需求提供项目搬运服务实施方案</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应急服务方案。</w:t>
      </w:r>
    </w:p>
    <w:p w14:paraId="0C40BA95">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14、供应商严格按照《道路货物运输及站场管理规定》实施搬运服务，并对服务人员进行经常性的安全、职业道德教育和业务知识、操作规程培训。</w:t>
      </w:r>
    </w:p>
    <w:p w14:paraId="66A75AE4">
      <w:pPr>
        <w:pStyle w:val="3"/>
        <w:keepNext w:val="0"/>
        <w:keepLines w:val="0"/>
        <w:pageBreakBefore w:val="0"/>
        <w:kinsoku/>
        <w:wordWrap/>
        <w:overflowPunct/>
        <w:topLinePunct w:val="0"/>
        <w:autoSpaceDE/>
        <w:autoSpaceDN/>
        <w:bidi w:val="0"/>
        <w:adjustRightInd/>
        <w:snapToGrid w:val="0"/>
        <w:spacing w:line="360" w:lineRule="auto"/>
        <w:ind w:left="0" w:leftChars="0" w:firstLine="0" w:firstLineChars="0"/>
        <w:outlineLvl w:val="1"/>
        <w:rPr>
          <w:rFonts w:hint="eastAsia" w:ascii="宋体" w:hAnsi="宋体" w:eastAsia="宋体" w:cs="宋体"/>
          <w:b/>
          <w:bCs w:val="0"/>
          <w:color w:val="auto"/>
          <w:sz w:val="24"/>
          <w:szCs w:val="24"/>
          <w:highlight w:val="none"/>
          <w:lang w:val="en-US" w:eastAsia="zh-CN"/>
        </w:rPr>
      </w:pPr>
      <w:r>
        <w:rPr>
          <w:rFonts w:hint="eastAsia" w:ascii="宋体" w:hAnsi="宋体" w:eastAsia="宋体" w:cs="宋体"/>
          <w:color w:val="auto"/>
          <w:sz w:val="24"/>
          <w:szCs w:val="24"/>
          <w:highlight w:val="none"/>
        </w:rPr>
        <w:t>★</w:t>
      </w:r>
      <w:r>
        <w:rPr>
          <w:rFonts w:hint="eastAsia" w:ascii="宋体" w:hAnsi="宋体" w:eastAsia="宋体" w:cs="宋体"/>
          <w:b/>
          <w:bCs w:val="0"/>
          <w:color w:val="auto"/>
          <w:sz w:val="24"/>
          <w:szCs w:val="24"/>
          <w:highlight w:val="none"/>
          <w:lang w:val="en-US" w:eastAsia="zh-CN"/>
        </w:rPr>
        <w:t>三、限价表及报价要求</w:t>
      </w:r>
    </w:p>
    <w:p w14:paraId="5C8CF518">
      <w:pPr>
        <w:pStyle w:val="3"/>
        <w:keepNext w:val="0"/>
        <w:keepLines w:val="0"/>
        <w:pageBreakBefore w:val="0"/>
        <w:kinsoku/>
        <w:wordWrap/>
        <w:overflowPunct/>
        <w:topLinePunct w:val="0"/>
        <w:autoSpaceDE/>
        <w:autoSpaceDN/>
        <w:bidi w:val="0"/>
        <w:adjustRightInd/>
        <w:snapToGrid w:val="0"/>
        <w:spacing w:line="360" w:lineRule="auto"/>
        <w:ind w:left="0" w:leftChars="0" w:firstLine="0" w:firstLineChars="0"/>
        <w:outlineLvl w:val="1"/>
        <w:rPr>
          <w:rFonts w:hint="eastAsia" w:ascii="宋体" w:hAnsi="宋体" w:eastAsia="宋体" w:cs="宋体"/>
          <w:b/>
          <w:bCs w:val="0"/>
          <w:color w:val="auto"/>
          <w:sz w:val="24"/>
          <w:szCs w:val="24"/>
          <w:highlight w:val="none"/>
          <w:lang w:val="en-US" w:eastAsia="zh-CN"/>
        </w:rPr>
      </w:pPr>
      <w:r>
        <w:rPr>
          <w:rFonts w:hint="eastAsia" w:ascii="宋体" w:hAnsi="宋体" w:eastAsia="宋体" w:cs="宋体"/>
          <w:b/>
          <w:bCs w:val="0"/>
          <w:color w:val="auto"/>
          <w:sz w:val="24"/>
          <w:szCs w:val="24"/>
          <w:highlight w:val="none"/>
          <w:lang w:val="en-US" w:eastAsia="zh-CN"/>
        </w:rPr>
        <w:t>（1）限价表</w:t>
      </w:r>
    </w:p>
    <w:tbl>
      <w:tblPr>
        <w:tblStyle w:val="4"/>
        <w:tblW w:w="932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66"/>
        <w:gridCol w:w="430"/>
        <w:gridCol w:w="1811"/>
        <w:gridCol w:w="959"/>
        <w:gridCol w:w="690"/>
        <w:gridCol w:w="4972"/>
      </w:tblGrid>
      <w:tr w14:paraId="3B075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241C3E28">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序号</w:t>
            </w:r>
          </w:p>
        </w:tc>
        <w:tc>
          <w:tcPr>
            <w:tcW w:w="430" w:type="dxa"/>
            <w:tcBorders>
              <w:top w:val="single" w:color="000000" w:sz="4" w:space="0"/>
              <w:left w:val="single" w:color="000000" w:sz="4" w:space="0"/>
              <w:bottom w:val="single" w:color="000000" w:sz="4" w:space="0"/>
              <w:right w:val="single" w:color="000000" w:sz="4" w:space="0"/>
            </w:tcBorders>
            <w:noWrap w:val="0"/>
            <w:vAlign w:val="center"/>
          </w:tcPr>
          <w:p w14:paraId="20253102">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项目</w:t>
            </w: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7CAF3399">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服务内容</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1CBA59A6">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单位</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0D89E289">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b w:val="0"/>
                <w:bCs w:val="0"/>
                <w:i w:val="0"/>
                <w:iCs w:val="0"/>
                <w:color w:val="auto"/>
                <w:kern w:val="0"/>
                <w:sz w:val="18"/>
                <w:szCs w:val="18"/>
                <w:highlight w:val="none"/>
                <w:u w:val="none"/>
                <w:lang w:val="en-US" w:eastAsia="zh-CN" w:bidi="ar"/>
              </w:rPr>
              <w:t>采购限价</w:t>
            </w:r>
          </w:p>
        </w:tc>
        <w:tc>
          <w:tcPr>
            <w:tcW w:w="4972" w:type="dxa"/>
            <w:tcBorders>
              <w:top w:val="single" w:color="000000" w:sz="4" w:space="0"/>
              <w:left w:val="single" w:color="000000" w:sz="4" w:space="0"/>
              <w:bottom w:val="single" w:color="000000" w:sz="4" w:space="0"/>
              <w:right w:val="single" w:color="000000" w:sz="4" w:space="0"/>
            </w:tcBorders>
            <w:noWrap w:val="0"/>
            <w:vAlign w:val="center"/>
          </w:tcPr>
          <w:p w14:paraId="3D4809AF">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备注</w:t>
            </w:r>
          </w:p>
        </w:tc>
      </w:tr>
      <w:tr w14:paraId="21C06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9"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01737CF6">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w:t>
            </w:r>
          </w:p>
        </w:tc>
        <w:tc>
          <w:tcPr>
            <w:tcW w:w="430" w:type="dxa"/>
            <w:vMerge w:val="restart"/>
            <w:tcBorders>
              <w:top w:val="single" w:color="000000" w:sz="4" w:space="0"/>
              <w:left w:val="single" w:color="000000" w:sz="4" w:space="0"/>
              <w:bottom w:val="single" w:color="000000" w:sz="4" w:space="0"/>
              <w:right w:val="single" w:color="000000" w:sz="4" w:space="0"/>
            </w:tcBorders>
            <w:noWrap w:val="0"/>
            <w:vAlign w:val="center"/>
          </w:tcPr>
          <w:p w14:paraId="421CCA04">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运输搬运</w:t>
            </w: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00B6973E">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货车搬运1</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27A935CF">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元/车</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6C4EEC1E">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400</w:t>
            </w:r>
          </w:p>
        </w:tc>
        <w:tc>
          <w:tcPr>
            <w:tcW w:w="4972" w:type="dxa"/>
            <w:tcBorders>
              <w:top w:val="single" w:color="000000" w:sz="4" w:space="0"/>
              <w:left w:val="single" w:color="000000" w:sz="4" w:space="0"/>
              <w:bottom w:val="single" w:color="000000" w:sz="4" w:space="0"/>
              <w:right w:val="single" w:color="000000" w:sz="4" w:space="0"/>
            </w:tcBorders>
            <w:noWrap w:val="0"/>
            <w:vAlign w:val="top"/>
          </w:tcPr>
          <w:p w14:paraId="705FF163">
            <w:pPr>
              <w:keepNext w:val="0"/>
              <w:keepLines w:val="0"/>
              <w:widowControl/>
              <w:suppressLineNumbers w:val="0"/>
              <w:jc w:val="both"/>
              <w:textAlignment w:val="top"/>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单程（0-10公里）。含上下车、车辆、油料、驾驶员、空返费。（4.2米厢式/栏板货车，限载限宽以下）</w:t>
            </w:r>
          </w:p>
        </w:tc>
      </w:tr>
      <w:tr w14:paraId="4304A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7"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0158BD0A">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2</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18C820">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24B854FE">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货车搬运2</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4E8D252C">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元/车</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27E7A4D8">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450</w:t>
            </w:r>
          </w:p>
        </w:tc>
        <w:tc>
          <w:tcPr>
            <w:tcW w:w="4972" w:type="dxa"/>
            <w:tcBorders>
              <w:top w:val="single" w:color="000000" w:sz="4" w:space="0"/>
              <w:left w:val="single" w:color="000000" w:sz="4" w:space="0"/>
              <w:bottom w:val="single" w:color="000000" w:sz="4" w:space="0"/>
              <w:right w:val="single" w:color="000000" w:sz="4" w:space="0"/>
            </w:tcBorders>
            <w:noWrap w:val="0"/>
            <w:vAlign w:val="top"/>
          </w:tcPr>
          <w:p w14:paraId="480CE79E">
            <w:pPr>
              <w:keepNext w:val="0"/>
              <w:keepLines w:val="0"/>
              <w:widowControl/>
              <w:suppressLineNumbers w:val="0"/>
              <w:jc w:val="both"/>
              <w:textAlignment w:val="top"/>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 xml:space="preserve">单程（10.1-20公里）。含上下车、车辆、油料、驾驶员、空返费。（4.2米厢式/栏板货车，限载限宽以下） </w:t>
            </w:r>
          </w:p>
        </w:tc>
      </w:tr>
      <w:tr w14:paraId="1E9C0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68B96A18">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3</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517E86">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6D86E8C4">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货车搬运3</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4B680D1F">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元/车</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3D40E3E2">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500</w:t>
            </w:r>
          </w:p>
        </w:tc>
        <w:tc>
          <w:tcPr>
            <w:tcW w:w="4972" w:type="dxa"/>
            <w:tcBorders>
              <w:top w:val="single" w:color="000000" w:sz="4" w:space="0"/>
              <w:left w:val="single" w:color="000000" w:sz="4" w:space="0"/>
              <w:bottom w:val="single" w:color="000000" w:sz="4" w:space="0"/>
              <w:right w:val="single" w:color="000000" w:sz="4" w:space="0"/>
            </w:tcBorders>
            <w:noWrap w:val="0"/>
            <w:vAlign w:val="top"/>
          </w:tcPr>
          <w:p w14:paraId="62B149E9">
            <w:pPr>
              <w:keepNext w:val="0"/>
              <w:keepLines w:val="0"/>
              <w:widowControl/>
              <w:suppressLineNumbers w:val="0"/>
              <w:jc w:val="both"/>
              <w:textAlignment w:val="top"/>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单程（20.1-40公里）。含上下车、车辆、油料、驾驶员、空返费。（4.2米厢式/栏板货车，限载限宽以下）</w:t>
            </w:r>
          </w:p>
        </w:tc>
      </w:tr>
      <w:tr w14:paraId="00D148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2"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5D832F6A">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4</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AD89AE">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164593CD">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货车搬运4</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09562837">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元/车</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6225D895">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800</w:t>
            </w:r>
          </w:p>
        </w:tc>
        <w:tc>
          <w:tcPr>
            <w:tcW w:w="4972" w:type="dxa"/>
            <w:tcBorders>
              <w:top w:val="single" w:color="000000" w:sz="4" w:space="0"/>
              <w:left w:val="single" w:color="000000" w:sz="4" w:space="0"/>
              <w:bottom w:val="single" w:color="000000" w:sz="4" w:space="0"/>
              <w:right w:val="single" w:color="000000" w:sz="4" w:space="0"/>
            </w:tcBorders>
            <w:noWrap w:val="0"/>
            <w:vAlign w:val="top"/>
          </w:tcPr>
          <w:p w14:paraId="731E5F6F">
            <w:pPr>
              <w:keepNext w:val="0"/>
              <w:keepLines w:val="0"/>
              <w:widowControl/>
              <w:suppressLineNumbers w:val="0"/>
              <w:jc w:val="left"/>
              <w:textAlignment w:val="top"/>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 xml:space="preserve">单程（0-10公里）。含上下车、车辆、油料、驾驶员、空返费。（6.8米厢式/栏板货车，限载限宽以下） </w:t>
            </w:r>
          </w:p>
        </w:tc>
      </w:tr>
      <w:tr w14:paraId="6D9B17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725804D4">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5</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1093B8">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75B684E1">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货车搬运5</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4B783806">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元/车</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1F87BDDB">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950</w:t>
            </w:r>
          </w:p>
        </w:tc>
        <w:tc>
          <w:tcPr>
            <w:tcW w:w="4972" w:type="dxa"/>
            <w:tcBorders>
              <w:top w:val="single" w:color="000000" w:sz="4" w:space="0"/>
              <w:left w:val="single" w:color="000000" w:sz="4" w:space="0"/>
              <w:bottom w:val="single" w:color="000000" w:sz="4" w:space="0"/>
              <w:right w:val="single" w:color="000000" w:sz="4" w:space="0"/>
            </w:tcBorders>
            <w:noWrap w:val="0"/>
            <w:vAlign w:val="top"/>
          </w:tcPr>
          <w:p w14:paraId="126EA266">
            <w:pPr>
              <w:keepNext w:val="0"/>
              <w:keepLines w:val="0"/>
              <w:widowControl/>
              <w:suppressLineNumbers w:val="0"/>
              <w:jc w:val="both"/>
              <w:textAlignment w:val="top"/>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 xml:space="preserve">单程（10.1-20公里）。含上下车、车辆、油料、驾驶员、空返费。（6.8米厢式/栏板货车，限载限宽以下） </w:t>
            </w:r>
          </w:p>
        </w:tc>
      </w:tr>
      <w:tr w14:paraId="5E5819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8"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648BF20E">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6</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417CAC">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771CFE89">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货车搬运6</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27D50D70">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元/车</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0A8442C0">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1100</w:t>
            </w:r>
          </w:p>
        </w:tc>
        <w:tc>
          <w:tcPr>
            <w:tcW w:w="4972" w:type="dxa"/>
            <w:tcBorders>
              <w:top w:val="single" w:color="000000" w:sz="4" w:space="0"/>
              <w:left w:val="single" w:color="000000" w:sz="4" w:space="0"/>
              <w:bottom w:val="single" w:color="000000" w:sz="4" w:space="0"/>
              <w:right w:val="single" w:color="000000" w:sz="4" w:space="0"/>
            </w:tcBorders>
            <w:noWrap w:val="0"/>
            <w:vAlign w:val="top"/>
          </w:tcPr>
          <w:p w14:paraId="6BA69200">
            <w:pPr>
              <w:keepNext w:val="0"/>
              <w:keepLines w:val="0"/>
              <w:widowControl/>
              <w:suppressLineNumbers w:val="0"/>
              <w:jc w:val="both"/>
              <w:textAlignment w:val="top"/>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单程（20.1-40公里）。含上下车、车辆、油料、驾驶员、空返费。（6.8米厢式/栏板货车，限载限宽以下）</w:t>
            </w:r>
          </w:p>
        </w:tc>
      </w:tr>
      <w:tr w14:paraId="391522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022214F8">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7</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A76BF6">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1A194458">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货车搬运7</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1F04F296">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元/车</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09FC6888">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300</w:t>
            </w:r>
          </w:p>
        </w:tc>
        <w:tc>
          <w:tcPr>
            <w:tcW w:w="4972" w:type="dxa"/>
            <w:tcBorders>
              <w:top w:val="single" w:color="000000" w:sz="4" w:space="0"/>
              <w:left w:val="single" w:color="000000" w:sz="4" w:space="0"/>
              <w:bottom w:val="single" w:color="000000" w:sz="4" w:space="0"/>
              <w:right w:val="single" w:color="000000" w:sz="4" w:space="0"/>
            </w:tcBorders>
            <w:noWrap w:val="0"/>
            <w:vAlign w:val="top"/>
          </w:tcPr>
          <w:p w14:paraId="669979A8">
            <w:pPr>
              <w:keepNext w:val="0"/>
              <w:keepLines w:val="0"/>
              <w:widowControl/>
              <w:suppressLineNumbers w:val="0"/>
              <w:jc w:val="both"/>
              <w:textAlignment w:val="top"/>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院区内用车转运，含上下车、车辆、油料、驾驶员、空返费。（4.2米厢式/栏板货车，限载限宽以下）</w:t>
            </w:r>
          </w:p>
        </w:tc>
      </w:tr>
      <w:tr w14:paraId="1F1C39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2"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4F3B0C5B">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8</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1855CB">
            <w:pPr>
              <w:jc w:val="center"/>
              <w:rPr>
                <w:rFonts w:hint="eastAsia" w:ascii="黑体" w:hAnsi="黑体" w:eastAsia="黑体" w:cs="黑体"/>
                <w:i w:val="0"/>
                <w:iCs w:val="0"/>
                <w:color w:val="auto"/>
                <w:sz w:val="18"/>
                <w:szCs w:val="18"/>
                <w:highlight w:val="none"/>
                <w:u w:val="none"/>
              </w:rPr>
            </w:pPr>
          </w:p>
        </w:tc>
        <w:tc>
          <w:tcPr>
            <w:tcW w:w="1811" w:type="dxa"/>
            <w:vMerge w:val="restart"/>
            <w:tcBorders>
              <w:top w:val="single" w:color="000000" w:sz="4" w:space="0"/>
              <w:left w:val="single" w:color="000000" w:sz="4" w:space="0"/>
              <w:bottom w:val="single" w:color="000000" w:sz="4" w:space="0"/>
              <w:right w:val="single" w:color="000000" w:sz="4" w:space="0"/>
            </w:tcBorders>
            <w:noWrap w:val="0"/>
            <w:vAlign w:val="center"/>
          </w:tcPr>
          <w:p w14:paraId="7ED8780B">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搬运人工费</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0B2A644B">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元/人*时</w:t>
            </w:r>
          </w:p>
        </w:tc>
        <w:tc>
          <w:tcPr>
            <w:tcW w:w="690" w:type="dxa"/>
            <w:tcBorders>
              <w:top w:val="single" w:color="000000" w:sz="4" w:space="0"/>
              <w:left w:val="single" w:color="000000" w:sz="4" w:space="0"/>
              <w:bottom w:val="single" w:color="000000" w:sz="4" w:space="0"/>
              <w:right w:val="single" w:color="000000" w:sz="4" w:space="0"/>
            </w:tcBorders>
            <w:noWrap/>
            <w:vAlign w:val="center"/>
          </w:tcPr>
          <w:p w14:paraId="34CFD808">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80</w:t>
            </w:r>
          </w:p>
        </w:tc>
        <w:tc>
          <w:tcPr>
            <w:tcW w:w="4972" w:type="dxa"/>
            <w:tcBorders>
              <w:top w:val="single" w:color="000000" w:sz="4" w:space="0"/>
              <w:left w:val="single" w:color="000000" w:sz="4" w:space="0"/>
              <w:bottom w:val="single" w:color="000000" w:sz="4" w:space="0"/>
              <w:right w:val="single" w:color="000000" w:sz="4" w:space="0"/>
            </w:tcBorders>
            <w:noWrap/>
            <w:vAlign w:val="center"/>
          </w:tcPr>
          <w:p w14:paraId="3B569DAB">
            <w:pPr>
              <w:keepNext w:val="0"/>
              <w:keepLines w:val="0"/>
              <w:widowControl/>
              <w:suppressLineNumbers w:val="0"/>
              <w:jc w:val="left"/>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普通搬运8：00-20：00（含电梯或人工上下楼费用）</w:t>
            </w:r>
          </w:p>
        </w:tc>
      </w:tr>
      <w:tr w14:paraId="7878B5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69EFF966">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9</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5A8B92">
            <w:pPr>
              <w:jc w:val="center"/>
              <w:rPr>
                <w:rFonts w:hint="eastAsia" w:ascii="黑体" w:hAnsi="黑体" w:eastAsia="黑体" w:cs="黑体"/>
                <w:i w:val="0"/>
                <w:iCs w:val="0"/>
                <w:color w:val="auto"/>
                <w:sz w:val="18"/>
                <w:szCs w:val="18"/>
                <w:highlight w:val="none"/>
                <w:u w:val="none"/>
              </w:rPr>
            </w:pPr>
          </w:p>
        </w:tc>
        <w:tc>
          <w:tcPr>
            <w:tcW w:w="181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CD64B3">
            <w:pPr>
              <w:jc w:val="center"/>
              <w:rPr>
                <w:rFonts w:hint="eastAsia" w:ascii="黑体" w:hAnsi="黑体" w:eastAsia="黑体" w:cs="黑体"/>
                <w:i w:val="0"/>
                <w:iCs w:val="0"/>
                <w:color w:val="auto"/>
                <w:sz w:val="18"/>
                <w:szCs w:val="18"/>
                <w:highlight w:val="none"/>
                <w:u w:val="none"/>
              </w:rPr>
            </w:pP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183ACF3B">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元/人*时</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58594A05">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90</w:t>
            </w:r>
          </w:p>
        </w:tc>
        <w:tc>
          <w:tcPr>
            <w:tcW w:w="4972" w:type="dxa"/>
            <w:tcBorders>
              <w:top w:val="single" w:color="000000" w:sz="4" w:space="0"/>
              <w:left w:val="single" w:color="000000" w:sz="4" w:space="0"/>
              <w:bottom w:val="single" w:color="000000" w:sz="4" w:space="0"/>
              <w:right w:val="single" w:color="000000" w:sz="4" w:space="0"/>
            </w:tcBorders>
            <w:noWrap w:val="0"/>
            <w:vAlign w:val="center"/>
          </w:tcPr>
          <w:p w14:paraId="10BC86B1">
            <w:pPr>
              <w:keepNext w:val="0"/>
              <w:keepLines w:val="0"/>
              <w:widowControl/>
              <w:suppressLineNumbers w:val="0"/>
              <w:jc w:val="left"/>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普通搬运20：01-次日7：59（含电梯或人工上下楼费用）</w:t>
            </w:r>
          </w:p>
        </w:tc>
      </w:tr>
      <w:tr w14:paraId="08C30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6"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2791B044">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10</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2BDCDE">
            <w:pPr>
              <w:jc w:val="center"/>
              <w:rPr>
                <w:rFonts w:hint="eastAsia" w:ascii="黑体" w:hAnsi="黑体" w:eastAsia="黑体" w:cs="黑体"/>
                <w:i w:val="0"/>
                <w:iCs w:val="0"/>
                <w:color w:val="auto"/>
                <w:sz w:val="18"/>
                <w:szCs w:val="18"/>
                <w:highlight w:val="none"/>
                <w:u w:val="none"/>
              </w:rPr>
            </w:pPr>
          </w:p>
        </w:tc>
        <w:tc>
          <w:tcPr>
            <w:tcW w:w="181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E0B8B7">
            <w:pPr>
              <w:jc w:val="center"/>
              <w:rPr>
                <w:rFonts w:hint="eastAsia" w:ascii="黑体" w:hAnsi="黑体" w:eastAsia="黑体" w:cs="黑体"/>
                <w:i w:val="0"/>
                <w:iCs w:val="0"/>
                <w:color w:val="auto"/>
                <w:sz w:val="18"/>
                <w:szCs w:val="18"/>
                <w:highlight w:val="none"/>
                <w:u w:val="none"/>
              </w:rPr>
            </w:pP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0F5413DD">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元/人*时</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2063EE92">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100</w:t>
            </w:r>
          </w:p>
        </w:tc>
        <w:tc>
          <w:tcPr>
            <w:tcW w:w="4972" w:type="dxa"/>
            <w:tcBorders>
              <w:top w:val="single" w:color="000000" w:sz="4" w:space="0"/>
              <w:left w:val="single" w:color="000000" w:sz="4" w:space="0"/>
              <w:bottom w:val="single" w:color="000000" w:sz="4" w:space="0"/>
              <w:right w:val="single" w:color="000000" w:sz="4" w:space="0"/>
            </w:tcBorders>
            <w:noWrap w:val="0"/>
            <w:vAlign w:val="top"/>
          </w:tcPr>
          <w:p w14:paraId="7127C0F9">
            <w:pPr>
              <w:keepNext w:val="0"/>
              <w:keepLines w:val="0"/>
              <w:widowControl/>
              <w:suppressLineNumbers w:val="0"/>
              <w:jc w:val="both"/>
              <w:textAlignment w:val="top"/>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设备及特种搬运（≥100公斤、精密仪器、检测设备、实验台、生物安全柜等）8：00-20：00（含电梯或人工上下楼费用）</w:t>
            </w:r>
          </w:p>
        </w:tc>
      </w:tr>
      <w:tr w14:paraId="04739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8"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26B50326">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11</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0449FB">
            <w:pPr>
              <w:jc w:val="center"/>
              <w:rPr>
                <w:rFonts w:hint="eastAsia" w:ascii="黑体" w:hAnsi="黑体" w:eastAsia="黑体" w:cs="黑体"/>
                <w:i w:val="0"/>
                <w:iCs w:val="0"/>
                <w:color w:val="auto"/>
                <w:sz w:val="18"/>
                <w:szCs w:val="18"/>
                <w:highlight w:val="none"/>
                <w:u w:val="none"/>
              </w:rPr>
            </w:pPr>
          </w:p>
        </w:tc>
        <w:tc>
          <w:tcPr>
            <w:tcW w:w="181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8678A5">
            <w:pPr>
              <w:jc w:val="center"/>
              <w:rPr>
                <w:rFonts w:hint="eastAsia" w:ascii="黑体" w:hAnsi="黑体" w:eastAsia="黑体" w:cs="黑体"/>
                <w:i w:val="0"/>
                <w:iCs w:val="0"/>
                <w:color w:val="auto"/>
                <w:sz w:val="18"/>
                <w:szCs w:val="18"/>
                <w:highlight w:val="none"/>
                <w:u w:val="none"/>
              </w:rPr>
            </w:pP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3D12712A">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元/人*时</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46CA1335">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120</w:t>
            </w:r>
          </w:p>
        </w:tc>
        <w:tc>
          <w:tcPr>
            <w:tcW w:w="4972" w:type="dxa"/>
            <w:tcBorders>
              <w:top w:val="single" w:color="000000" w:sz="4" w:space="0"/>
              <w:left w:val="single" w:color="000000" w:sz="4" w:space="0"/>
              <w:bottom w:val="single" w:color="000000" w:sz="4" w:space="0"/>
              <w:right w:val="single" w:color="000000" w:sz="4" w:space="0"/>
            </w:tcBorders>
            <w:noWrap w:val="0"/>
            <w:vAlign w:val="top"/>
          </w:tcPr>
          <w:p w14:paraId="0CE931CC">
            <w:pPr>
              <w:keepNext w:val="0"/>
              <w:keepLines w:val="0"/>
              <w:widowControl/>
              <w:suppressLineNumbers w:val="0"/>
              <w:jc w:val="both"/>
              <w:textAlignment w:val="top"/>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设备及特种搬运（≥100公斤、精密仪器、检测设备、实验台、生物安全柜等）20：01-次日7：59（含电梯或人工上下楼费用）</w:t>
            </w:r>
          </w:p>
        </w:tc>
      </w:tr>
      <w:tr w14:paraId="5605C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4"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013974A2">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12</w:t>
            </w:r>
          </w:p>
        </w:tc>
        <w:tc>
          <w:tcPr>
            <w:tcW w:w="430" w:type="dxa"/>
            <w:vMerge w:val="restart"/>
            <w:tcBorders>
              <w:top w:val="single" w:color="000000" w:sz="4" w:space="0"/>
              <w:left w:val="single" w:color="000000" w:sz="4" w:space="0"/>
              <w:bottom w:val="single" w:color="000000" w:sz="4" w:space="0"/>
              <w:right w:val="single" w:color="000000" w:sz="4" w:space="0"/>
            </w:tcBorders>
            <w:noWrap w:val="0"/>
            <w:vAlign w:val="center"/>
          </w:tcPr>
          <w:p w14:paraId="5EB64CFD">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机械使用</w:t>
            </w: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1358F517">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3吨机动叉车</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6934E986">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元/台班</w:t>
            </w:r>
          </w:p>
        </w:tc>
        <w:tc>
          <w:tcPr>
            <w:tcW w:w="690" w:type="dxa"/>
            <w:tcBorders>
              <w:top w:val="single" w:color="000000" w:sz="4" w:space="0"/>
              <w:left w:val="single" w:color="000000" w:sz="4" w:space="0"/>
              <w:bottom w:val="single" w:color="000000" w:sz="4" w:space="0"/>
              <w:right w:val="single" w:color="000000" w:sz="4" w:space="0"/>
            </w:tcBorders>
            <w:noWrap/>
            <w:vAlign w:val="center"/>
          </w:tcPr>
          <w:p w14:paraId="54A8B0D4">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800</w:t>
            </w:r>
          </w:p>
        </w:tc>
        <w:tc>
          <w:tcPr>
            <w:tcW w:w="4972" w:type="dxa"/>
            <w:vMerge w:val="restart"/>
            <w:tcBorders>
              <w:top w:val="single" w:color="000000" w:sz="4" w:space="0"/>
              <w:left w:val="single" w:color="000000" w:sz="4" w:space="0"/>
              <w:bottom w:val="single" w:color="000000" w:sz="4" w:space="0"/>
              <w:right w:val="single" w:color="000000" w:sz="4" w:space="0"/>
            </w:tcBorders>
            <w:noWrap/>
            <w:vAlign w:val="center"/>
          </w:tcPr>
          <w:p w14:paraId="3C392B2E">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1个台班为8小时；≤4小时按半个台班计价，超过4小时不足8小时按一个台班计价。</w:t>
            </w:r>
          </w:p>
        </w:tc>
      </w:tr>
      <w:tr w14:paraId="1CD3B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4"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0BBE532F">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13</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AF21C9">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137698FA">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5吨机动叉车</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6C35F5ED">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元/台班</w:t>
            </w:r>
          </w:p>
        </w:tc>
        <w:tc>
          <w:tcPr>
            <w:tcW w:w="690" w:type="dxa"/>
            <w:tcBorders>
              <w:top w:val="single" w:color="000000" w:sz="4" w:space="0"/>
              <w:left w:val="single" w:color="000000" w:sz="4" w:space="0"/>
              <w:bottom w:val="single" w:color="000000" w:sz="4" w:space="0"/>
              <w:right w:val="single" w:color="000000" w:sz="4" w:space="0"/>
            </w:tcBorders>
            <w:noWrap/>
            <w:vAlign w:val="center"/>
          </w:tcPr>
          <w:p w14:paraId="2446AB4F">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1000</w:t>
            </w:r>
          </w:p>
        </w:tc>
        <w:tc>
          <w:tcPr>
            <w:tcW w:w="4972" w:type="dxa"/>
            <w:vMerge w:val="continue"/>
            <w:tcBorders>
              <w:top w:val="single" w:color="000000" w:sz="4" w:space="0"/>
              <w:left w:val="single" w:color="000000" w:sz="4" w:space="0"/>
              <w:bottom w:val="single" w:color="000000" w:sz="4" w:space="0"/>
              <w:right w:val="single" w:color="000000" w:sz="4" w:space="0"/>
            </w:tcBorders>
            <w:noWrap/>
            <w:vAlign w:val="center"/>
          </w:tcPr>
          <w:p w14:paraId="4A637B65">
            <w:pPr>
              <w:jc w:val="center"/>
              <w:rPr>
                <w:rFonts w:hint="eastAsia" w:ascii="黑体" w:hAnsi="黑体" w:eastAsia="黑体" w:cs="黑体"/>
                <w:i w:val="0"/>
                <w:iCs w:val="0"/>
                <w:color w:val="auto"/>
                <w:sz w:val="18"/>
                <w:szCs w:val="18"/>
                <w:highlight w:val="none"/>
                <w:u w:val="none"/>
              </w:rPr>
            </w:pPr>
          </w:p>
        </w:tc>
      </w:tr>
      <w:tr w14:paraId="2CEB7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0F77998E">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14</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541E9E">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2E58F397">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8吨机动叉车</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6E9452EE">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元/台班</w:t>
            </w:r>
          </w:p>
        </w:tc>
        <w:tc>
          <w:tcPr>
            <w:tcW w:w="690" w:type="dxa"/>
            <w:tcBorders>
              <w:top w:val="single" w:color="000000" w:sz="4" w:space="0"/>
              <w:left w:val="single" w:color="000000" w:sz="4" w:space="0"/>
              <w:bottom w:val="single" w:color="000000" w:sz="4" w:space="0"/>
              <w:right w:val="single" w:color="000000" w:sz="4" w:space="0"/>
            </w:tcBorders>
            <w:noWrap/>
            <w:vAlign w:val="center"/>
          </w:tcPr>
          <w:p w14:paraId="7FF4D9B2">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1200</w:t>
            </w:r>
          </w:p>
        </w:tc>
        <w:tc>
          <w:tcPr>
            <w:tcW w:w="4972" w:type="dxa"/>
            <w:vMerge w:val="continue"/>
            <w:tcBorders>
              <w:top w:val="single" w:color="000000" w:sz="4" w:space="0"/>
              <w:left w:val="single" w:color="000000" w:sz="4" w:space="0"/>
              <w:bottom w:val="single" w:color="000000" w:sz="4" w:space="0"/>
              <w:right w:val="single" w:color="000000" w:sz="4" w:space="0"/>
            </w:tcBorders>
            <w:noWrap/>
            <w:vAlign w:val="center"/>
          </w:tcPr>
          <w:p w14:paraId="2F609683">
            <w:pPr>
              <w:jc w:val="center"/>
              <w:rPr>
                <w:rFonts w:hint="eastAsia" w:ascii="黑体" w:hAnsi="黑体" w:eastAsia="黑体" w:cs="黑体"/>
                <w:i w:val="0"/>
                <w:iCs w:val="0"/>
                <w:color w:val="auto"/>
                <w:sz w:val="18"/>
                <w:szCs w:val="18"/>
                <w:highlight w:val="none"/>
                <w:u w:val="none"/>
              </w:rPr>
            </w:pPr>
          </w:p>
        </w:tc>
      </w:tr>
      <w:tr w14:paraId="2BCCC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4"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2EA3356D">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15</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FA4AF1">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4D3EBBE7">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12T及以下（含12T）吊车（含1名司机）</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1357EAD8">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元/台班</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0DF18646">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1500</w:t>
            </w:r>
          </w:p>
        </w:tc>
        <w:tc>
          <w:tcPr>
            <w:tcW w:w="497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077A9E">
            <w:pPr>
              <w:jc w:val="center"/>
              <w:rPr>
                <w:rFonts w:hint="eastAsia" w:ascii="黑体" w:hAnsi="黑体" w:eastAsia="黑体" w:cs="黑体"/>
                <w:i w:val="0"/>
                <w:iCs w:val="0"/>
                <w:color w:val="auto"/>
                <w:sz w:val="18"/>
                <w:szCs w:val="18"/>
                <w:highlight w:val="none"/>
                <w:u w:val="none"/>
              </w:rPr>
            </w:pPr>
          </w:p>
        </w:tc>
      </w:tr>
      <w:tr w14:paraId="320FB5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5"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4A4D6FDD">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16</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2B33B1">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0F55D0B8">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12T以上吊车（含1名司机）</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27223547">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元/台班</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77ECF123">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2200</w:t>
            </w:r>
          </w:p>
        </w:tc>
        <w:tc>
          <w:tcPr>
            <w:tcW w:w="497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0BE0C7">
            <w:pPr>
              <w:jc w:val="center"/>
              <w:rPr>
                <w:rFonts w:hint="eastAsia" w:ascii="黑体" w:hAnsi="黑体" w:eastAsia="黑体" w:cs="黑体"/>
                <w:i w:val="0"/>
                <w:iCs w:val="0"/>
                <w:color w:val="auto"/>
                <w:sz w:val="18"/>
                <w:szCs w:val="18"/>
                <w:highlight w:val="none"/>
                <w:u w:val="none"/>
              </w:rPr>
            </w:pPr>
          </w:p>
        </w:tc>
      </w:tr>
      <w:tr w14:paraId="31E2B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07921BB1">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17</w:t>
            </w:r>
          </w:p>
        </w:tc>
        <w:tc>
          <w:tcPr>
            <w:tcW w:w="430" w:type="dxa"/>
            <w:vMerge w:val="restart"/>
            <w:tcBorders>
              <w:top w:val="single" w:color="000000" w:sz="4" w:space="0"/>
              <w:left w:val="single" w:color="000000" w:sz="4" w:space="0"/>
              <w:bottom w:val="single" w:color="000000" w:sz="4" w:space="0"/>
              <w:right w:val="single" w:color="000000" w:sz="4" w:space="0"/>
            </w:tcBorders>
            <w:noWrap w:val="0"/>
            <w:vAlign w:val="center"/>
          </w:tcPr>
          <w:p w14:paraId="03088A5D">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拆装</w:t>
            </w: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2B9BDC40">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病床、诊疗床、值班床、学生公寓床拆装</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4EE778BB">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元/张</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125B3E16">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150</w:t>
            </w:r>
          </w:p>
        </w:tc>
        <w:tc>
          <w:tcPr>
            <w:tcW w:w="4972" w:type="dxa"/>
            <w:tcBorders>
              <w:top w:val="single" w:color="000000" w:sz="4" w:space="0"/>
              <w:left w:val="single" w:color="000000" w:sz="4" w:space="0"/>
              <w:bottom w:val="single" w:color="000000" w:sz="4" w:space="0"/>
              <w:right w:val="single" w:color="000000" w:sz="4" w:space="0"/>
            </w:tcBorders>
            <w:noWrap w:val="0"/>
            <w:vAlign w:val="center"/>
          </w:tcPr>
          <w:p w14:paraId="0850DAEB">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含安装辅材（仅拆和装费用，不含搬运）</w:t>
            </w:r>
          </w:p>
        </w:tc>
      </w:tr>
      <w:tr w14:paraId="3513C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2"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5C6AD6EB">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18</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0146A5">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12FDA75D">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货架拆装</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3D8803B8">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元/列</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31CFF9A4">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50</w:t>
            </w:r>
          </w:p>
        </w:tc>
        <w:tc>
          <w:tcPr>
            <w:tcW w:w="4972" w:type="dxa"/>
            <w:tcBorders>
              <w:top w:val="single" w:color="000000" w:sz="4" w:space="0"/>
              <w:left w:val="single" w:color="000000" w:sz="4" w:space="0"/>
              <w:bottom w:val="single" w:color="000000" w:sz="4" w:space="0"/>
              <w:right w:val="single" w:color="000000" w:sz="4" w:space="0"/>
            </w:tcBorders>
            <w:noWrap w:val="0"/>
            <w:vAlign w:val="center"/>
          </w:tcPr>
          <w:p w14:paraId="2EA6434B">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含安装辅材（仅拆和装费用，不含搬运）</w:t>
            </w:r>
          </w:p>
        </w:tc>
      </w:tr>
      <w:tr w14:paraId="79C9A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5944B00C">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19</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80C98E">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17A2B8CB">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办公桌拆装1</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5B5F5A6F">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元/张</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558426E4">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60</w:t>
            </w:r>
          </w:p>
        </w:tc>
        <w:tc>
          <w:tcPr>
            <w:tcW w:w="4972" w:type="dxa"/>
            <w:tcBorders>
              <w:top w:val="single" w:color="000000" w:sz="4" w:space="0"/>
              <w:left w:val="single" w:color="000000" w:sz="4" w:space="0"/>
              <w:bottom w:val="single" w:color="000000" w:sz="4" w:space="0"/>
              <w:right w:val="single" w:color="000000" w:sz="4" w:space="0"/>
            </w:tcBorders>
            <w:noWrap w:val="0"/>
            <w:vAlign w:val="center"/>
          </w:tcPr>
          <w:p w14:paraId="75F72957">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含安装辅材。1.4米及以下。（仅拆和装费用，不含搬运）</w:t>
            </w:r>
          </w:p>
        </w:tc>
      </w:tr>
      <w:tr w14:paraId="18448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4"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5EFC3A53">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20</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F313B6">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46F116DF">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办公桌拆装2</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43858DE0">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元/张</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641308B9">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80</w:t>
            </w:r>
          </w:p>
        </w:tc>
        <w:tc>
          <w:tcPr>
            <w:tcW w:w="4972" w:type="dxa"/>
            <w:tcBorders>
              <w:top w:val="single" w:color="000000" w:sz="4" w:space="0"/>
              <w:left w:val="single" w:color="000000" w:sz="4" w:space="0"/>
              <w:bottom w:val="single" w:color="000000" w:sz="4" w:space="0"/>
              <w:right w:val="single" w:color="000000" w:sz="4" w:space="0"/>
            </w:tcBorders>
            <w:noWrap w:val="0"/>
            <w:vAlign w:val="center"/>
          </w:tcPr>
          <w:p w14:paraId="011F43F5">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含安装辅材。1.4米以上。（仅拆和装费用，不含搬运）</w:t>
            </w:r>
          </w:p>
        </w:tc>
      </w:tr>
      <w:tr w14:paraId="71865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4295FDC2">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21</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FD6A1E">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34895114">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会议桌拆装</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1D8AF077">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元/米</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4A2444D1">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25</w:t>
            </w:r>
          </w:p>
        </w:tc>
        <w:tc>
          <w:tcPr>
            <w:tcW w:w="4972" w:type="dxa"/>
            <w:tcBorders>
              <w:top w:val="single" w:color="000000" w:sz="4" w:space="0"/>
              <w:left w:val="single" w:color="000000" w:sz="4" w:space="0"/>
              <w:bottom w:val="single" w:color="000000" w:sz="4" w:space="0"/>
              <w:right w:val="single" w:color="000000" w:sz="4" w:space="0"/>
            </w:tcBorders>
            <w:noWrap w:val="0"/>
            <w:vAlign w:val="center"/>
          </w:tcPr>
          <w:p w14:paraId="49877DA9">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含安装辅材（仅拆和装费用，不含搬运）</w:t>
            </w:r>
          </w:p>
        </w:tc>
      </w:tr>
      <w:tr w14:paraId="6B045E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17F0AA67">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22</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32BD84">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5850C8E1">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书柜拆装</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0D80DEEE">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元/门</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2F488D79">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40</w:t>
            </w:r>
          </w:p>
        </w:tc>
        <w:tc>
          <w:tcPr>
            <w:tcW w:w="4972" w:type="dxa"/>
            <w:tcBorders>
              <w:top w:val="single" w:color="000000" w:sz="4" w:space="0"/>
              <w:left w:val="single" w:color="000000" w:sz="4" w:space="0"/>
              <w:bottom w:val="single" w:color="000000" w:sz="4" w:space="0"/>
              <w:right w:val="single" w:color="000000" w:sz="4" w:space="0"/>
            </w:tcBorders>
            <w:noWrap w:val="0"/>
            <w:vAlign w:val="center"/>
          </w:tcPr>
          <w:p w14:paraId="6ED2EB86">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含安装辅材（仅拆和装费用，不含搬运）</w:t>
            </w:r>
          </w:p>
        </w:tc>
      </w:tr>
      <w:tr w14:paraId="4C1A8B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5D4F5598">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23</w:t>
            </w:r>
          </w:p>
        </w:tc>
        <w:tc>
          <w:tcPr>
            <w:tcW w:w="430" w:type="dxa"/>
            <w:vMerge w:val="restart"/>
            <w:tcBorders>
              <w:top w:val="single" w:color="000000" w:sz="4" w:space="0"/>
              <w:left w:val="single" w:color="000000" w:sz="4" w:space="0"/>
              <w:bottom w:val="single" w:color="000000" w:sz="4" w:space="0"/>
              <w:right w:val="single" w:color="000000" w:sz="4" w:space="0"/>
            </w:tcBorders>
            <w:noWrap w:val="0"/>
            <w:vAlign w:val="center"/>
          </w:tcPr>
          <w:p w14:paraId="4D6AD689">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材料</w:t>
            </w: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3283B3DB">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编织袋</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73ACC438">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元/个</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27F1DBEC">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1</w:t>
            </w:r>
          </w:p>
        </w:tc>
        <w:tc>
          <w:tcPr>
            <w:tcW w:w="4972" w:type="dxa"/>
            <w:tcBorders>
              <w:top w:val="single" w:color="000000" w:sz="4" w:space="0"/>
              <w:left w:val="single" w:color="000000" w:sz="4" w:space="0"/>
              <w:bottom w:val="single" w:color="000000" w:sz="4" w:space="0"/>
              <w:right w:val="single" w:color="000000" w:sz="4" w:space="0"/>
            </w:tcBorders>
            <w:noWrap w:val="0"/>
            <w:vAlign w:val="center"/>
          </w:tcPr>
          <w:p w14:paraId="4C69ED01">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单个尺寸：≥55cm*40cm*30cm</w:t>
            </w:r>
          </w:p>
        </w:tc>
      </w:tr>
      <w:tr w14:paraId="7480F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6773F63D">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24</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913F4B">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27F3F97D">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纸箱</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3276DAE0">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元/个</w:t>
            </w:r>
          </w:p>
        </w:tc>
        <w:tc>
          <w:tcPr>
            <w:tcW w:w="690" w:type="dxa"/>
            <w:tcBorders>
              <w:top w:val="single" w:color="000000" w:sz="4" w:space="0"/>
              <w:left w:val="single" w:color="000000" w:sz="4" w:space="0"/>
              <w:bottom w:val="single" w:color="000000" w:sz="4" w:space="0"/>
              <w:right w:val="single" w:color="000000" w:sz="4" w:space="0"/>
            </w:tcBorders>
            <w:noWrap/>
            <w:vAlign w:val="center"/>
          </w:tcPr>
          <w:p w14:paraId="2687F790">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15</w:t>
            </w:r>
          </w:p>
        </w:tc>
        <w:tc>
          <w:tcPr>
            <w:tcW w:w="4972" w:type="dxa"/>
            <w:tcBorders>
              <w:top w:val="single" w:color="000000" w:sz="4" w:space="0"/>
              <w:left w:val="single" w:color="000000" w:sz="4" w:space="0"/>
              <w:bottom w:val="single" w:color="000000" w:sz="4" w:space="0"/>
              <w:right w:val="single" w:color="000000" w:sz="4" w:space="0"/>
            </w:tcBorders>
            <w:noWrap/>
            <w:vAlign w:val="center"/>
          </w:tcPr>
          <w:p w14:paraId="736D5EE9">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单个尺寸：≥60*50*40cm</w:t>
            </w:r>
          </w:p>
        </w:tc>
      </w:tr>
      <w:tr w14:paraId="338CD6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4"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1AD1AB69">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25</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19F143">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63A50F2B">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封口胶</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4EE839F2">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元/个</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608AB2EB">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5</w:t>
            </w:r>
          </w:p>
        </w:tc>
        <w:tc>
          <w:tcPr>
            <w:tcW w:w="4972" w:type="dxa"/>
            <w:tcBorders>
              <w:top w:val="single" w:color="000000" w:sz="4" w:space="0"/>
              <w:left w:val="single" w:color="000000" w:sz="4" w:space="0"/>
              <w:bottom w:val="single" w:color="000000" w:sz="4" w:space="0"/>
              <w:right w:val="single" w:color="000000" w:sz="4" w:space="0"/>
            </w:tcBorders>
            <w:noWrap w:val="0"/>
            <w:vAlign w:val="center"/>
          </w:tcPr>
          <w:p w14:paraId="1686BBD3">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单个尺寸：≥宽45mm*长100m</w:t>
            </w:r>
          </w:p>
        </w:tc>
      </w:tr>
      <w:tr w14:paraId="72E3F2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64EF7D14">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26</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F4746C">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384C4BD2">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气泡膜</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414D2F65">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元/圈</w:t>
            </w:r>
          </w:p>
        </w:tc>
        <w:tc>
          <w:tcPr>
            <w:tcW w:w="690" w:type="dxa"/>
            <w:tcBorders>
              <w:top w:val="single" w:color="000000" w:sz="4" w:space="0"/>
              <w:left w:val="single" w:color="000000" w:sz="4" w:space="0"/>
              <w:bottom w:val="single" w:color="000000" w:sz="4" w:space="0"/>
              <w:right w:val="single" w:color="000000" w:sz="4" w:space="0"/>
            </w:tcBorders>
            <w:noWrap/>
            <w:vAlign w:val="center"/>
          </w:tcPr>
          <w:p w14:paraId="4CD90F4B">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200</w:t>
            </w:r>
          </w:p>
        </w:tc>
        <w:tc>
          <w:tcPr>
            <w:tcW w:w="4972" w:type="dxa"/>
            <w:tcBorders>
              <w:top w:val="single" w:color="000000" w:sz="4" w:space="0"/>
              <w:left w:val="single" w:color="000000" w:sz="4" w:space="0"/>
              <w:bottom w:val="single" w:color="000000" w:sz="4" w:space="0"/>
              <w:right w:val="single" w:color="000000" w:sz="4" w:space="0"/>
            </w:tcBorders>
            <w:noWrap/>
            <w:vAlign w:val="center"/>
          </w:tcPr>
          <w:p w14:paraId="2E7188E9">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单个尺寸：≥宽1.0米*长100米</w:t>
            </w:r>
          </w:p>
        </w:tc>
      </w:tr>
    </w:tbl>
    <w:p w14:paraId="11D5D457">
      <w:pPr>
        <w:pStyle w:val="6"/>
        <w:keepNext w:val="0"/>
        <w:keepLines w:val="0"/>
        <w:pageBreakBefore w:val="0"/>
        <w:kinsoku/>
        <w:wordWrap/>
        <w:overflowPunct/>
        <w:topLinePunct w:val="0"/>
        <w:autoSpaceDE/>
        <w:autoSpaceDN/>
        <w:bidi w:val="0"/>
        <w:adjustRightInd/>
        <w:snapToGrid w:val="0"/>
        <w:spacing w:line="360" w:lineRule="auto"/>
        <w:ind w:firstLine="480"/>
        <w:jc w:val="left"/>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2</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报价要求</w:t>
      </w:r>
      <w:r>
        <w:rPr>
          <w:rFonts w:hint="eastAsia" w:ascii="宋体" w:hAnsi="宋体" w:eastAsia="宋体" w:cs="宋体"/>
          <w:b/>
          <w:bCs/>
          <w:color w:val="auto"/>
          <w:sz w:val="24"/>
          <w:szCs w:val="24"/>
          <w:highlight w:val="none"/>
          <w:lang w:eastAsia="zh-CN"/>
        </w:rPr>
        <w:t>：</w:t>
      </w:r>
      <w:r>
        <w:rPr>
          <w:rFonts w:hint="eastAsia" w:ascii="宋体" w:hAnsi="宋体" w:eastAsia="宋体" w:cs="宋体"/>
          <w:color w:val="auto"/>
          <w:sz w:val="24"/>
          <w:szCs w:val="24"/>
          <w:highlight w:val="none"/>
        </w:rPr>
        <w:t>根据报价表进行</w:t>
      </w:r>
      <w:r>
        <w:rPr>
          <w:rFonts w:hint="eastAsia" w:ascii="宋体" w:hAnsi="宋体" w:eastAsia="宋体" w:cs="宋体"/>
          <w:color w:val="auto"/>
          <w:sz w:val="24"/>
          <w:szCs w:val="24"/>
          <w:highlight w:val="none"/>
          <w:lang w:val="en-US" w:eastAsia="zh-CN"/>
        </w:rPr>
        <w:t>统一</w:t>
      </w:r>
      <w:r>
        <w:rPr>
          <w:rFonts w:hint="eastAsia" w:ascii="宋体" w:hAnsi="宋体" w:eastAsia="宋体" w:cs="宋体"/>
          <w:color w:val="auto"/>
          <w:sz w:val="24"/>
          <w:szCs w:val="24"/>
          <w:highlight w:val="none"/>
        </w:rPr>
        <w:t>报价，</w:t>
      </w:r>
      <w:r>
        <w:rPr>
          <w:rFonts w:hint="eastAsia" w:ascii="宋体" w:hAnsi="宋体" w:eastAsia="宋体" w:cs="宋体"/>
          <w:color w:val="auto"/>
          <w:sz w:val="24"/>
          <w:szCs w:val="24"/>
          <w:highlight w:val="none"/>
          <w:lang w:val="en-US" w:eastAsia="zh-CN"/>
        </w:rPr>
        <w:t>采用折扣率的方式报价。报价最多保留小数点后2位数，且固定唯一。（例：若投标报价为85%，单项控制单价为100元，则实际结算价为85元）</w:t>
      </w:r>
      <w:r>
        <w:rPr>
          <w:rFonts w:hint="eastAsia" w:ascii="宋体" w:hAnsi="宋体" w:eastAsia="宋体" w:cs="宋体"/>
          <w:color w:val="auto"/>
          <w:sz w:val="24"/>
          <w:szCs w:val="24"/>
          <w:highlight w:val="none"/>
        </w:rPr>
        <w:t>报价中包含打包费、上下车、电梯及楼层服务费、过路费、保险费、油料</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空返费</w:t>
      </w:r>
      <w:r>
        <w:rPr>
          <w:rFonts w:hint="eastAsia" w:ascii="宋体" w:hAnsi="宋体" w:eastAsia="宋体" w:cs="宋体"/>
          <w:color w:val="auto"/>
          <w:sz w:val="24"/>
          <w:szCs w:val="24"/>
          <w:highlight w:val="none"/>
          <w:lang w:val="en-US" w:eastAsia="zh-CN"/>
        </w:rPr>
        <w:t>及</w:t>
      </w:r>
      <w:r>
        <w:rPr>
          <w:rFonts w:hint="eastAsia" w:ascii="宋体" w:hAnsi="宋体" w:eastAsia="宋体" w:cs="宋体"/>
          <w:color w:val="auto"/>
          <w:sz w:val="24"/>
          <w:szCs w:val="24"/>
          <w:highlight w:val="none"/>
        </w:rPr>
        <w:t>税费等一切费用，不得以任何理由另行计收空返费或其他附加费用，</w:t>
      </w:r>
      <w:r>
        <w:rPr>
          <w:rFonts w:hint="eastAsia" w:ascii="宋体" w:hAnsi="宋体" w:eastAsia="宋体" w:cs="宋体"/>
          <w:color w:val="auto"/>
          <w:sz w:val="24"/>
          <w:szCs w:val="24"/>
          <w:highlight w:val="none"/>
          <w:lang w:val="en-US" w:eastAsia="zh-CN"/>
        </w:rPr>
        <w:t>采购人</w:t>
      </w:r>
      <w:r>
        <w:rPr>
          <w:rFonts w:hint="eastAsia" w:ascii="宋体" w:hAnsi="宋体" w:eastAsia="宋体" w:cs="宋体"/>
          <w:color w:val="auto"/>
          <w:sz w:val="24"/>
          <w:szCs w:val="24"/>
          <w:highlight w:val="none"/>
        </w:rPr>
        <w:t>不再额外支付任何费用。</w:t>
      </w:r>
    </w:p>
    <w:p w14:paraId="78A5FCED">
      <w:pPr>
        <w:pStyle w:val="7"/>
        <w:keepNext w:val="0"/>
        <w:keepLines w:val="0"/>
        <w:pageBreakBefore w:val="0"/>
        <w:numPr>
          <w:ilvl w:val="0"/>
          <w:numId w:val="0"/>
        </w:numPr>
        <w:kinsoku/>
        <w:wordWrap/>
        <w:overflowPunct/>
        <w:topLinePunct w:val="0"/>
        <w:autoSpaceDE/>
        <w:autoSpaceDN/>
        <w:bidi w:val="0"/>
        <w:adjustRightInd w:val="0"/>
        <w:snapToGrid w:val="0"/>
        <w:spacing w:line="360" w:lineRule="auto"/>
        <w:ind w:left="0" w:leftChars="0" w:right="0" w:rightChars="0"/>
        <w:jc w:val="left"/>
        <w:textAlignment w:val="auto"/>
        <w:outlineLvl w:val="1"/>
        <w:rPr>
          <w:rFonts w:hint="eastAsia" w:ascii="宋体" w:hAnsi="宋体" w:eastAsia="宋体" w:cs="宋体"/>
          <w:b/>
          <w:bCs/>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b/>
          <w:bCs/>
          <w:color w:val="auto"/>
          <w:sz w:val="24"/>
          <w:szCs w:val="24"/>
          <w:highlight w:val="none"/>
          <w:lang w:val="en-US" w:eastAsia="zh-CN"/>
        </w:rPr>
        <w:t>四、</w:t>
      </w:r>
      <w:r>
        <w:rPr>
          <w:rFonts w:hint="eastAsia" w:ascii="宋体" w:hAnsi="宋体" w:eastAsia="宋体" w:cs="宋体"/>
          <w:b/>
          <w:bCs/>
          <w:color w:val="auto"/>
          <w:sz w:val="24"/>
          <w:szCs w:val="24"/>
          <w:highlight w:val="none"/>
        </w:rPr>
        <w:t>商务要求</w:t>
      </w:r>
    </w:p>
    <w:p w14:paraId="0E041002">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（一）服务期限： 服务期2年</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合同一年一签，首年合同期满后，由采购人组织考核，考核合格方可续签下一年度合同。每年服务费不得超过28.5万元。</w:t>
      </w:r>
      <w:r>
        <w:rPr>
          <w:rFonts w:hint="eastAsia" w:ascii="宋体" w:hAnsi="宋体" w:eastAsia="宋体" w:cs="宋体"/>
          <w:color w:val="auto"/>
          <w:sz w:val="24"/>
          <w:szCs w:val="24"/>
          <w:highlight w:val="none"/>
        </w:rPr>
        <w:t xml:space="preserve"> </w:t>
      </w:r>
    </w:p>
    <w:p w14:paraId="7C3B1F66">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（二）服务地点：</w:t>
      </w:r>
      <w:r>
        <w:rPr>
          <w:rFonts w:hint="eastAsia" w:ascii="宋体" w:hAnsi="宋体" w:eastAsia="宋体" w:cs="宋体"/>
          <w:color w:val="auto"/>
          <w:sz w:val="24"/>
          <w:szCs w:val="24"/>
          <w:highlight w:val="none"/>
          <w:lang w:val="en-US" w:eastAsia="zh-CN"/>
        </w:rPr>
        <w:t>采购人</w:t>
      </w:r>
      <w:r>
        <w:rPr>
          <w:rFonts w:hint="eastAsia" w:ascii="宋体" w:hAnsi="宋体" w:eastAsia="宋体" w:cs="宋体"/>
          <w:color w:val="auto"/>
          <w:sz w:val="24"/>
          <w:szCs w:val="24"/>
          <w:highlight w:val="none"/>
        </w:rPr>
        <w:t>指定地点</w:t>
      </w:r>
      <w:r>
        <w:rPr>
          <w:rFonts w:hint="eastAsia" w:ascii="宋体" w:hAnsi="宋体" w:eastAsia="宋体" w:cs="宋体"/>
          <w:color w:val="auto"/>
          <w:sz w:val="24"/>
          <w:szCs w:val="24"/>
          <w:highlight w:val="none"/>
          <w:lang w:eastAsia="zh-CN"/>
        </w:rPr>
        <w:t>。</w:t>
      </w:r>
    </w:p>
    <w:p w14:paraId="1F780A82">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（三）付款方式： 根据季度考核后据实结算，</w:t>
      </w:r>
      <w:r>
        <w:rPr>
          <w:rFonts w:hint="eastAsia" w:ascii="宋体" w:hAnsi="宋体" w:eastAsia="宋体" w:cs="宋体"/>
          <w:color w:val="auto"/>
          <w:sz w:val="24"/>
          <w:szCs w:val="24"/>
          <w:highlight w:val="none"/>
          <w:lang w:val="en-US" w:eastAsia="zh-CN"/>
        </w:rPr>
        <w:t>成交供应商</w:t>
      </w:r>
      <w:r>
        <w:rPr>
          <w:rFonts w:hint="eastAsia" w:ascii="宋体" w:hAnsi="宋体" w:eastAsia="宋体" w:cs="宋体"/>
          <w:color w:val="auto"/>
          <w:sz w:val="24"/>
          <w:szCs w:val="24"/>
          <w:highlight w:val="none"/>
        </w:rPr>
        <w:t>出具相应的增值税普通发票后</w:t>
      </w:r>
      <w:r>
        <w:rPr>
          <w:rFonts w:hint="eastAsia" w:ascii="宋体" w:hAnsi="宋体" w:eastAsia="宋体" w:cs="宋体"/>
          <w:color w:val="auto"/>
          <w:sz w:val="24"/>
          <w:szCs w:val="24"/>
          <w:highlight w:val="none"/>
          <w:lang w:val="en-US" w:eastAsia="zh-CN"/>
        </w:rPr>
        <w:t>采购人</w:t>
      </w:r>
      <w:r>
        <w:rPr>
          <w:rFonts w:hint="eastAsia" w:ascii="宋体" w:hAnsi="宋体" w:eastAsia="宋体" w:cs="宋体"/>
          <w:color w:val="auto"/>
          <w:sz w:val="24"/>
          <w:szCs w:val="24"/>
          <w:highlight w:val="none"/>
        </w:rPr>
        <w:t>按季度进行支付。自合同签订生效之日起的每季度（每三个月）后一个月开具增值税普通发票，</w:t>
      </w:r>
      <w:r>
        <w:rPr>
          <w:rFonts w:hint="eastAsia" w:ascii="宋体" w:hAnsi="宋体" w:eastAsia="宋体" w:cs="宋体"/>
          <w:color w:val="auto"/>
          <w:sz w:val="24"/>
          <w:szCs w:val="24"/>
          <w:highlight w:val="none"/>
          <w:lang w:val="en-US" w:eastAsia="zh-CN"/>
        </w:rPr>
        <w:t>采购人</w:t>
      </w:r>
      <w:r>
        <w:rPr>
          <w:rFonts w:hint="eastAsia" w:ascii="宋体" w:hAnsi="宋体" w:eastAsia="宋体" w:cs="宋体"/>
          <w:color w:val="auto"/>
          <w:sz w:val="24"/>
          <w:szCs w:val="24"/>
          <w:highlight w:val="none"/>
        </w:rPr>
        <w:t>在收到发票后30个工作日内支付。</w:t>
      </w:r>
    </w:p>
    <w:p w14:paraId="18204A94">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采购人向</w:t>
      </w:r>
      <w:r>
        <w:rPr>
          <w:rFonts w:hint="eastAsia" w:ascii="宋体" w:hAnsi="宋体" w:eastAsia="宋体" w:cs="宋体"/>
          <w:color w:val="auto"/>
          <w:sz w:val="24"/>
          <w:szCs w:val="24"/>
          <w:highlight w:val="none"/>
          <w:lang w:val="en-US" w:eastAsia="zh-CN"/>
        </w:rPr>
        <w:t>成交</w:t>
      </w:r>
      <w:r>
        <w:rPr>
          <w:rFonts w:hint="eastAsia" w:ascii="宋体" w:hAnsi="宋体" w:eastAsia="宋体" w:cs="宋体"/>
          <w:color w:val="auto"/>
          <w:sz w:val="24"/>
          <w:szCs w:val="24"/>
          <w:highlight w:val="none"/>
        </w:rPr>
        <w:t>供应商指定账户汇出款项后，即视为已履行付款义务，若因供应商原因（包括但不限于账户被注销、被冻结、未在变更账户信息前</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日内书面通知采购人等）导致费用逾期达到或无法达到供应商指定收款账户的，由供应商承担由此产生的一切后果和损失，采购人不承担任何违约责任。</w:t>
      </w:r>
    </w:p>
    <w:p w14:paraId="5A7EB7B7">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四）验收标准和考核方法：</w:t>
      </w:r>
    </w:p>
    <w:p w14:paraId="63934C1A">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1.验收标准：完好无损的转运至采购人指定地点，采购人对所运输的物品种类、数量、状态进行清点，经核对无误后由采购人在转运单上签字验收。</w:t>
      </w:r>
    </w:p>
    <w:p w14:paraId="7ED83C75">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2.考核方法</w:t>
      </w:r>
    </w:p>
    <w:p w14:paraId="4D3CDEA9">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2.1季度考核评分标准 </w:t>
      </w:r>
    </w:p>
    <w:p w14:paraId="5E69B2C6">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考核满分为100分，结果分成3个等级：A级（得分≥90分），B级（80分≤得分&lt;90分），C级（得分&lt;80分）。</w:t>
      </w:r>
    </w:p>
    <w:tbl>
      <w:tblPr>
        <w:tblStyle w:val="4"/>
        <w:tblW w:w="5805"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88"/>
        <w:gridCol w:w="1286"/>
        <w:gridCol w:w="3376"/>
        <w:gridCol w:w="928"/>
        <w:gridCol w:w="445"/>
        <w:gridCol w:w="265"/>
        <w:gridCol w:w="1433"/>
        <w:gridCol w:w="1373"/>
      </w:tblGrid>
      <w:tr w14:paraId="05FA3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430" w:hRule="atLeast"/>
        </w:trPr>
        <w:tc>
          <w:tcPr>
            <w:tcW w:w="4306" w:type="pct"/>
            <w:gridSpan w:val="7"/>
            <w:noWrap w:val="0"/>
            <w:vAlign w:val="center"/>
          </w:tcPr>
          <w:p w14:paraId="53290539">
            <w:pPr>
              <w:pStyle w:val="2"/>
              <w:keepNext w:val="0"/>
              <w:keepLines w:val="0"/>
              <w:pageBreakBefore w:val="0"/>
              <w:kinsoku/>
              <w:wordWrap/>
              <w:overflowPunct/>
              <w:topLinePunct w:val="0"/>
              <w:autoSpaceDE/>
              <w:autoSpaceDN/>
              <w:bidi w:val="0"/>
              <w:snapToGrid w:val="0"/>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医院搬运服务考核表</w:t>
            </w:r>
          </w:p>
        </w:tc>
      </w:tr>
      <w:tr w14:paraId="69CFE4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3448" w:type="pct"/>
            <w:gridSpan w:val="5"/>
            <w:noWrap w:val="0"/>
            <w:vAlign w:val="center"/>
          </w:tcPr>
          <w:p w14:paraId="4DD79C08">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考核周期：2026年第X季度（1-3月/4-6月/7-9月/10-12月）</w:t>
            </w:r>
          </w:p>
        </w:tc>
        <w:tc>
          <w:tcPr>
            <w:tcW w:w="1551" w:type="pct"/>
            <w:gridSpan w:val="3"/>
            <w:noWrap w:val="0"/>
            <w:vAlign w:val="center"/>
          </w:tcPr>
          <w:p w14:paraId="78553154">
            <w:pPr>
              <w:pStyle w:val="2"/>
              <w:keepNext w:val="0"/>
              <w:keepLines w:val="0"/>
              <w:pageBreakBefore w:val="0"/>
              <w:kinsoku/>
              <w:wordWrap/>
              <w:overflowPunct/>
              <w:topLinePunct w:val="0"/>
              <w:autoSpaceDE/>
              <w:autoSpaceDN/>
              <w:bidi w:val="0"/>
              <w:snapToGrid w:val="0"/>
              <w:spacing w:line="360" w:lineRule="auto"/>
              <w:ind w:left="2040" w:leftChars="600" w:firstLine="0" w:firstLineChars="0"/>
              <w:textAlignment w:val="auto"/>
              <w:rPr>
                <w:rFonts w:hint="eastAsia" w:ascii="宋体" w:hAnsi="宋体" w:eastAsia="宋体" w:cs="宋体"/>
                <w:color w:val="auto"/>
                <w:sz w:val="24"/>
                <w:szCs w:val="24"/>
                <w:highlight w:val="none"/>
                <w:lang w:val="en-US" w:eastAsia="zh-CN"/>
              </w:rPr>
            </w:pPr>
          </w:p>
        </w:tc>
      </w:tr>
      <w:tr w14:paraId="0C7B5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288" w:hRule="atLeast"/>
        </w:trPr>
        <w:tc>
          <w:tcPr>
            <w:tcW w:w="1048" w:type="pct"/>
            <w:gridSpan w:val="2"/>
            <w:noWrap w:val="0"/>
            <w:vAlign w:val="center"/>
          </w:tcPr>
          <w:p w14:paraId="29CCBF88">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考核负责人：</w:t>
            </w:r>
          </w:p>
        </w:tc>
        <w:tc>
          <w:tcPr>
            <w:tcW w:w="1706" w:type="pct"/>
            <w:noWrap w:val="0"/>
            <w:vAlign w:val="center"/>
          </w:tcPr>
          <w:p w14:paraId="29B66F84">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469" w:type="pct"/>
            <w:noWrap w:val="0"/>
            <w:vAlign w:val="center"/>
          </w:tcPr>
          <w:p w14:paraId="6A102DF3">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359" w:type="pct"/>
            <w:gridSpan w:val="2"/>
            <w:noWrap w:val="0"/>
            <w:vAlign w:val="center"/>
          </w:tcPr>
          <w:p w14:paraId="5524B017">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noWrap w:val="0"/>
            <w:vAlign w:val="center"/>
          </w:tcPr>
          <w:p w14:paraId="636062C6">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77C42A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288" w:hRule="atLeast"/>
        </w:trPr>
        <w:tc>
          <w:tcPr>
            <w:tcW w:w="1048" w:type="pct"/>
            <w:gridSpan w:val="2"/>
            <w:tcBorders>
              <w:bottom w:val="single" w:color="auto" w:sz="4" w:space="0"/>
            </w:tcBorders>
            <w:noWrap w:val="0"/>
            <w:vAlign w:val="center"/>
          </w:tcPr>
          <w:p w14:paraId="3F29B5B0">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被考核公司：</w:t>
            </w:r>
          </w:p>
        </w:tc>
        <w:tc>
          <w:tcPr>
            <w:tcW w:w="1706" w:type="pct"/>
            <w:tcBorders>
              <w:bottom w:val="single" w:color="auto" w:sz="4" w:space="0"/>
            </w:tcBorders>
            <w:noWrap w:val="0"/>
            <w:vAlign w:val="center"/>
          </w:tcPr>
          <w:p w14:paraId="7F46F93A">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828" w:type="pct"/>
            <w:gridSpan w:val="3"/>
            <w:tcBorders>
              <w:bottom w:val="single" w:color="auto" w:sz="4" w:space="0"/>
            </w:tcBorders>
            <w:noWrap w:val="0"/>
            <w:vAlign w:val="center"/>
          </w:tcPr>
          <w:p w14:paraId="49844DC8">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考核日期：</w:t>
            </w:r>
          </w:p>
        </w:tc>
        <w:tc>
          <w:tcPr>
            <w:tcW w:w="723" w:type="pct"/>
            <w:tcBorders>
              <w:bottom w:val="single" w:color="auto" w:sz="4" w:space="0"/>
            </w:tcBorders>
            <w:noWrap w:val="0"/>
            <w:vAlign w:val="center"/>
          </w:tcPr>
          <w:p w14:paraId="0B85F4BC">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14FC8C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288" w:hRule="atLeast"/>
        </w:trPr>
        <w:tc>
          <w:tcPr>
            <w:tcW w:w="1048" w:type="pct"/>
            <w:gridSpan w:val="2"/>
            <w:tcBorders>
              <w:top w:val="single" w:color="auto" w:sz="4" w:space="0"/>
              <w:left w:val="single" w:color="auto" w:sz="4" w:space="0"/>
              <w:bottom w:val="single" w:color="auto" w:sz="4" w:space="0"/>
              <w:right w:val="single" w:color="auto" w:sz="4" w:space="0"/>
            </w:tcBorders>
            <w:noWrap w:val="0"/>
            <w:vAlign w:val="center"/>
          </w:tcPr>
          <w:p w14:paraId="483F0237">
            <w:pPr>
              <w:pStyle w:val="2"/>
              <w:keepNext w:val="0"/>
              <w:keepLines w:val="0"/>
              <w:pageBreakBefore w:val="0"/>
              <w:kinsoku/>
              <w:wordWrap/>
              <w:overflowPunct/>
              <w:topLinePunct w:val="0"/>
              <w:autoSpaceDE/>
              <w:autoSpaceDN/>
              <w:bidi w:val="0"/>
              <w:snapToGrid w:val="0"/>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考核项目</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630EA67E">
            <w:pPr>
              <w:pStyle w:val="2"/>
              <w:keepNext w:val="0"/>
              <w:keepLines w:val="0"/>
              <w:pageBreakBefore w:val="0"/>
              <w:kinsoku/>
              <w:wordWrap/>
              <w:overflowPunct/>
              <w:topLinePunct w:val="0"/>
              <w:autoSpaceDE/>
              <w:autoSpaceDN/>
              <w:bidi w:val="0"/>
              <w:snapToGrid w:val="0"/>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考核内容与评分标准</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19DF0454">
            <w:pPr>
              <w:pStyle w:val="2"/>
              <w:keepNext w:val="0"/>
              <w:keepLines w:val="0"/>
              <w:pageBreakBefore w:val="0"/>
              <w:kinsoku/>
              <w:wordWrap/>
              <w:overflowPunct/>
              <w:topLinePunct w:val="0"/>
              <w:autoSpaceDE/>
              <w:autoSpaceDN/>
              <w:bidi w:val="0"/>
              <w:snapToGrid w:val="0"/>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分值</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2BAD7BE6">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得分</w:t>
            </w:r>
          </w:p>
        </w:tc>
        <w:tc>
          <w:tcPr>
            <w:tcW w:w="723" w:type="pct"/>
            <w:tcBorders>
              <w:top w:val="single" w:color="auto" w:sz="4" w:space="0"/>
              <w:left w:val="single" w:color="auto" w:sz="4" w:space="0"/>
              <w:bottom w:val="single" w:color="auto" w:sz="4" w:space="0"/>
              <w:right w:val="single" w:color="auto" w:sz="4" w:space="0"/>
            </w:tcBorders>
            <w:noWrap w:val="0"/>
            <w:vAlign w:val="center"/>
          </w:tcPr>
          <w:p w14:paraId="060D7E8E">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扣分原因/备注</w:t>
            </w:r>
          </w:p>
        </w:tc>
      </w:tr>
      <w:tr w14:paraId="0677A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490" w:hRule="atLeast"/>
        </w:trPr>
        <w:tc>
          <w:tcPr>
            <w:tcW w:w="398" w:type="pct"/>
            <w:vMerge w:val="restart"/>
            <w:tcBorders>
              <w:top w:val="single" w:color="auto" w:sz="4" w:space="0"/>
              <w:left w:val="single" w:color="auto" w:sz="4" w:space="0"/>
              <w:bottom w:val="single" w:color="auto" w:sz="4" w:space="0"/>
              <w:right w:val="single" w:color="auto" w:sz="4" w:space="0"/>
            </w:tcBorders>
            <w:noWrap w:val="0"/>
            <w:vAlign w:val="center"/>
          </w:tcPr>
          <w:p w14:paraId="1A749DD5">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服务态度</w:t>
            </w:r>
          </w:p>
        </w:tc>
        <w:tc>
          <w:tcPr>
            <w:tcW w:w="650" w:type="pct"/>
            <w:tcBorders>
              <w:top w:val="single" w:color="auto" w:sz="4" w:space="0"/>
              <w:left w:val="single" w:color="auto" w:sz="4" w:space="0"/>
              <w:bottom w:val="single" w:color="auto" w:sz="4" w:space="0"/>
              <w:right w:val="single" w:color="auto" w:sz="4" w:space="0"/>
            </w:tcBorders>
            <w:noWrap w:val="0"/>
            <w:vAlign w:val="center"/>
          </w:tcPr>
          <w:p w14:paraId="40E46E3E">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规范上岗</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4A2AF4B7">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着装统一整洁，佩戴工牌，驾驶人员、特种行业操作人员（若有）需持证上岗</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18E6D98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5A361703">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0B8C3E48">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28297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490"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445D690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24982E6F">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沟通礼貌</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3E98EA6E">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用语文明，主动沟通，态度亲切</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3276BCEB">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6FB4C1D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735728EE">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6D9C43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560"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0B9D4CF8">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0A025E88">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配合度</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5C4AEB3E">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服从现场调度，积极配合科室要求</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3010AC9D">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148D8FA9">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46DA8879">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18F8C4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480"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6D6AA083">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43F31C49">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投诉情况</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5A589DAB">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本季度无有效投诉（每发生1次扣2分）</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4D8B5BFA">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5879735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0EA1C570">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31571B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520" w:hRule="atLeast"/>
        </w:trPr>
        <w:tc>
          <w:tcPr>
            <w:tcW w:w="398" w:type="pct"/>
            <w:vMerge w:val="restart"/>
            <w:tcBorders>
              <w:top w:val="single" w:color="auto" w:sz="4" w:space="0"/>
              <w:left w:val="single" w:color="auto" w:sz="4" w:space="0"/>
              <w:bottom w:val="single" w:color="auto" w:sz="4" w:space="0"/>
              <w:right w:val="single" w:color="auto" w:sz="4" w:space="0"/>
            </w:tcBorders>
            <w:noWrap w:val="0"/>
            <w:vAlign w:val="center"/>
          </w:tcPr>
          <w:p w14:paraId="3DC78663">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响应及时性</w:t>
            </w:r>
          </w:p>
        </w:tc>
        <w:tc>
          <w:tcPr>
            <w:tcW w:w="650" w:type="pct"/>
            <w:tcBorders>
              <w:top w:val="single" w:color="auto" w:sz="4" w:space="0"/>
              <w:left w:val="single" w:color="auto" w:sz="4" w:space="0"/>
              <w:bottom w:val="single" w:color="auto" w:sz="4" w:space="0"/>
              <w:right w:val="single" w:color="auto" w:sz="4" w:space="0"/>
            </w:tcBorders>
            <w:noWrap w:val="0"/>
            <w:vAlign w:val="center"/>
          </w:tcPr>
          <w:p w14:paraId="7506D25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接单响应</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32D0694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接到任务后2小时内到达现场</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24B3F694">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21D0504F">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55E299D2">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5E45A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90"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6FEFBF6D">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0D236AF9">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任务完成时效</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14D66712">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按约定时间完成搬运，无拖延</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6A8EC7CA">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4C88AD0F">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7DC68079">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1B94C1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510"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62818114">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4D1C59D6">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紧急任务</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799A593F">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紧急搬运任务响应及时性</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2CCB1228">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4A007C96">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1DA65A9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57B32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410" w:hRule="atLeast"/>
        </w:trPr>
        <w:tc>
          <w:tcPr>
            <w:tcW w:w="398" w:type="pct"/>
            <w:vMerge w:val="restart"/>
            <w:tcBorders>
              <w:top w:val="single" w:color="auto" w:sz="4" w:space="0"/>
              <w:left w:val="single" w:color="auto" w:sz="4" w:space="0"/>
              <w:bottom w:val="single" w:color="auto" w:sz="4" w:space="0"/>
              <w:right w:val="single" w:color="auto" w:sz="4" w:space="0"/>
            </w:tcBorders>
            <w:noWrap w:val="0"/>
            <w:vAlign w:val="center"/>
          </w:tcPr>
          <w:p w14:paraId="080364B2">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安全保障</w:t>
            </w:r>
          </w:p>
        </w:tc>
        <w:tc>
          <w:tcPr>
            <w:tcW w:w="650" w:type="pct"/>
            <w:tcBorders>
              <w:top w:val="single" w:color="auto" w:sz="4" w:space="0"/>
              <w:left w:val="single" w:color="auto" w:sz="4" w:space="0"/>
              <w:bottom w:val="single" w:color="auto" w:sz="4" w:space="0"/>
              <w:right w:val="single" w:color="auto" w:sz="4" w:space="0"/>
            </w:tcBorders>
            <w:noWrap w:val="0"/>
            <w:vAlign w:val="center"/>
          </w:tcPr>
          <w:p w14:paraId="7A73A4B8">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操作规范</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671CB063">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按标准流程操作，使用正确工具</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00A63493">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28BCF642">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53069120">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70ECD7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430"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0E9714DF">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18E5C504">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安全防护</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517F3C5E">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做好个人防护，设置安全警示标识</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5548E2AE">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52E6664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6E0DDCBB">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35D0A0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530"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29649F7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29863124">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设备设施保护</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446EB80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搬运过程无碰撞、损坏医院设施</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74FA27BD">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04BD555C">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2BCCD4F4">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03BBFF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450"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713D3262">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10DED917">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安全事故</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171A21D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本季度无安全事故（发生即本项0分）</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163F8BC8">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38AD6090">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69FA7C4C">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20351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530"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5E29726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3D0E0BFA">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物资完好率</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69100300">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无损坏、无磕碰（每件损坏扣2分）</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7179A73F">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0E175DD9">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7DAA88DC">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3E65C4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510"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766C28D5">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4FB1ACC3">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数量准确</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539C00ED">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无遗失、无错漏（每差错1次扣2分）</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5CC3AB33">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382CAB49">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69A8D17D">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72AE0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470" w:hRule="atLeast"/>
        </w:trPr>
        <w:tc>
          <w:tcPr>
            <w:tcW w:w="398" w:type="pct"/>
            <w:vMerge w:val="restart"/>
            <w:tcBorders>
              <w:top w:val="single" w:color="auto" w:sz="4" w:space="0"/>
              <w:left w:val="single" w:color="auto" w:sz="4" w:space="0"/>
              <w:bottom w:val="single" w:color="auto" w:sz="4" w:space="0"/>
              <w:right w:val="single" w:color="auto" w:sz="4" w:space="0"/>
            </w:tcBorders>
            <w:noWrap w:val="0"/>
            <w:vAlign w:val="center"/>
          </w:tcPr>
          <w:p w14:paraId="41BE96BB">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数据准确</w:t>
            </w:r>
          </w:p>
        </w:tc>
        <w:tc>
          <w:tcPr>
            <w:tcW w:w="650" w:type="pct"/>
            <w:tcBorders>
              <w:top w:val="single" w:color="auto" w:sz="4" w:space="0"/>
              <w:left w:val="single" w:color="auto" w:sz="4" w:space="0"/>
              <w:bottom w:val="single" w:color="auto" w:sz="4" w:space="0"/>
              <w:right w:val="single" w:color="auto" w:sz="4" w:space="0"/>
            </w:tcBorders>
            <w:noWrap w:val="0"/>
            <w:vAlign w:val="center"/>
          </w:tcPr>
          <w:p w14:paraId="53BED845">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填写及时性</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26C1AF4A">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搬运完成后当日填写单据</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11BE149F">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693DF134">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238EE9ED">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021FA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594"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2A797FB7">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3F773B6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信息完整性</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2D022E4C">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搬运人次、车次、时间、公里数签字齐全</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3389830F">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32CA4FF0">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6B9F8B5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267E1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490"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68E4F482">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4510ECE7">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准确性</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4D0E7453">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信息准确无误，无涂改或模糊</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2FAE93B4">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7F5D6888">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303EFB5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7560D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400" w:hRule="atLeast"/>
        </w:trPr>
        <w:tc>
          <w:tcPr>
            <w:tcW w:w="398" w:type="pct"/>
            <w:tcBorders>
              <w:top w:val="single" w:color="auto" w:sz="4" w:space="0"/>
              <w:left w:val="single" w:color="auto" w:sz="4" w:space="0"/>
              <w:bottom w:val="single" w:color="auto" w:sz="4" w:space="0"/>
              <w:right w:val="single" w:color="auto" w:sz="4" w:space="0"/>
            </w:tcBorders>
            <w:noWrap w:val="0"/>
            <w:vAlign w:val="center"/>
          </w:tcPr>
          <w:p w14:paraId="6F75C55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加分项</w:t>
            </w:r>
          </w:p>
        </w:tc>
        <w:tc>
          <w:tcPr>
            <w:tcW w:w="650" w:type="pct"/>
            <w:tcBorders>
              <w:top w:val="single" w:color="auto" w:sz="4" w:space="0"/>
              <w:left w:val="single" w:color="auto" w:sz="4" w:space="0"/>
              <w:bottom w:val="single" w:color="auto" w:sz="4" w:space="0"/>
              <w:right w:val="single" w:color="auto" w:sz="4" w:space="0"/>
            </w:tcBorders>
            <w:noWrap w:val="0"/>
            <w:vAlign w:val="center"/>
          </w:tcPr>
          <w:p w14:paraId="6604EEAF">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特殊贡献</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2AE2579C">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主动协助处理紧急情况、获得表扬等</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641C2D73">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7E1047C2">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2E5FAACA">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62F7E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370" w:hRule="atLeast"/>
        </w:trPr>
        <w:tc>
          <w:tcPr>
            <w:tcW w:w="398" w:type="pct"/>
            <w:tcBorders>
              <w:top w:val="single" w:color="auto" w:sz="4" w:space="0"/>
              <w:left w:val="single" w:color="auto" w:sz="4" w:space="0"/>
              <w:bottom w:val="single" w:color="auto" w:sz="4" w:space="0"/>
              <w:right w:val="single" w:color="auto" w:sz="4" w:space="0"/>
            </w:tcBorders>
            <w:noWrap w:val="0"/>
            <w:vAlign w:val="center"/>
          </w:tcPr>
          <w:p w14:paraId="1E293CC4">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0B80DF4B">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总分</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2F92F425">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469" w:type="pct"/>
            <w:tcBorders>
              <w:top w:val="single" w:color="auto" w:sz="4" w:space="0"/>
              <w:left w:val="single" w:color="auto" w:sz="4" w:space="0"/>
              <w:bottom w:val="single" w:color="auto" w:sz="4" w:space="0"/>
              <w:right w:val="single" w:color="auto" w:sz="4" w:space="0"/>
            </w:tcBorders>
            <w:noWrap w:val="0"/>
            <w:vAlign w:val="center"/>
          </w:tcPr>
          <w:p w14:paraId="7FCBF3E7">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100</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5A3C3DB8">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0F940619">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bl>
    <w:p w14:paraId="44CD4053">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2.2考核结果的运用 </w:t>
      </w:r>
    </w:p>
    <w:p w14:paraId="10A288D9">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考核结果为A级（得分≥90分），每季度据实支付搬运服务费；考核结果为B级（80分≤得分&lt;90分），每低1分扣200.00元［例：考核得分85分，扣款金额为（90-85）×100元］；考核结果为C级（得分&lt;80分），每低1分扣500.00元［例：考核得分75分，扣款金额为（90-75）×500元］。</w:t>
      </w:r>
    </w:p>
    <w:p w14:paraId="12C60180">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一年累计2次考核结果为C级，采购人有权终止合同。 </w:t>
      </w:r>
    </w:p>
    <w:p w14:paraId="7D2A5005">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五）安全责任：货物在搬运、运输过程中（即该项目验收合格前）若发生任何安全事故，均由成交供应商负责，因事故所产生的一切赔付和善后均由成交供应商负责，采购人不承担任何经济和法律责任。供应商在服务过程中自行对运输及搬运人员的人身安全及财产安全负责。因供应商在履行合同过程中的疏忽、失职、过错等对第三人造成的财产损失、人身侵害，供应商对此均应承担全部赔偿责任。</w:t>
      </w:r>
      <w:r>
        <w:rPr>
          <w:rFonts w:hint="eastAsia" w:ascii="宋体" w:hAnsi="宋体" w:eastAsia="宋体" w:cs="宋体"/>
          <w:b/>
          <w:bCs/>
          <w:color w:val="auto"/>
          <w:sz w:val="24"/>
          <w:szCs w:val="24"/>
          <w:highlight w:val="none"/>
          <w:lang w:val="en-US" w:eastAsia="zh-CN"/>
        </w:rPr>
        <w:t>（供应商须单独提供承诺函）</w:t>
      </w:r>
    </w:p>
    <w:p w14:paraId="4A67D598">
      <w:r>
        <w:rPr>
          <w:rFonts w:hint="eastAsia" w:ascii="宋体" w:hAnsi="宋体" w:eastAsia="宋体" w:cs="宋体"/>
          <w:b/>
          <w:bCs/>
          <w:color w:val="auto"/>
          <w:sz w:val="24"/>
          <w:szCs w:val="24"/>
          <w:highlight w:val="none"/>
          <w:lang w:val="en-US" w:eastAsia="zh-CN"/>
        </w:rPr>
        <w:t>注：以上带“</w:t>
      </w:r>
      <w:r>
        <w:rPr>
          <w:rFonts w:hint="eastAsia" w:ascii="宋体" w:hAnsi="宋体" w:eastAsia="宋体" w:cs="宋体"/>
          <w:color w:val="auto"/>
          <w:sz w:val="24"/>
          <w:szCs w:val="24"/>
          <w:highlight w:val="none"/>
        </w:rPr>
        <w:t>★</w:t>
      </w:r>
      <w:r>
        <w:rPr>
          <w:rFonts w:hint="eastAsia" w:ascii="宋体" w:hAnsi="宋体" w:eastAsia="宋体" w:cs="宋体"/>
          <w:b/>
          <w:bCs/>
          <w:color w:val="auto"/>
          <w:sz w:val="24"/>
          <w:szCs w:val="24"/>
          <w:highlight w:val="none"/>
          <w:lang w:val="en-US" w:eastAsia="zh-CN"/>
        </w:rPr>
        <w:t>”为实质性要求，不满足做无效比选。</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华文中宋">
    <w:altName w:val="宋体"/>
    <w:panose1 w:val="02010600040101010101"/>
    <w:charset w:val="86"/>
    <w:family w:val="auto"/>
    <w:pitch w:val="default"/>
    <w:sig w:usb0="00000000" w:usb1="0000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FD70102"/>
    <w:rsid w:val="0FD701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宋体" w:hAnsi="Times New Roman" w:eastAsia="宋体" w:cs="Times New Roman"/>
      <w:sz w:val="34"/>
      <w:szCs w:val="22"/>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0"/>
    <w:rPr>
      <w:rFonts w:ascii="华文中宋" w:eastAsia="华文中宋"/>
      <w:bCs/>
      <w:sz w:val="28"/>
    </w:rPr>
  </w:style>
  <w:style w:type="paragraph" w:styleId="3">
    <w:name w:val="Normal Indent"/>
    <w:basedOn w:val="1"/>
    <w:qFormat/>
    <w:uiPriority w:val="0"/>
    <w:pPr>
      <w:ind w:firstLine="420" w:firstLineChars="200"/>
    </w:pPr>
    <w:rPr>
      <w:rFonts w:ascii="Times New Roman"/>
      <w:kern w:val="2"/>
      <w:sz w:val="21"/>
      <w:szCs w:val="24"/>
    </w:rPr>
  </w:style>
  <w:style w:type="paragraph" w:customStyle="1" w:styleId="6">
    <w:name w:val="null3"/>
    <w:hidden/>
    <w:qFormat/>
    <w:uiPriority w:val="0"/>
    <w:rPr>
      <w:rFonts w:hint="eastAsia" w:asciiTheme="minorHAnsi" w:hAnsiTheme="minorHAnsi" w:eastAsiaTheme="minorEastAsia" w:cstheme="minorBidi"/>
      <w:lang w:val="en-US" w:eastAsia="zh-Hans"/>
    </w:rPr>
  </w:style>
  <w:style w:type="paragraph" w:styleId="7">
    <w:name w:val="List Paragraph"/>
    <w:basedOn w:val="1"/>
    <w:qFormat/>
    <w:uiPriority w:val="99"/>
    <w:pPr>
      <w:ind w:firstLine="420" w:firstLineChars="200"/>
    </w:pPr>
    <w:rPr>
      <w:rFonts w:ascii="Times New Roman"/>
      <w:kern w:val="2"/>
      <w:sz w:val="21"/>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2026-01-05T05:45:00Z</dcterms:created>
  <dc:creator>WPS_1698997858</dc:creator>
  <cp:lastModifiedBy>WPS_1698997858</cp:lastModifiedBy>
  <dcterms:modified xsi:type="dcterms:W3CDTF">2026-01-05T05:45:48Z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FFC3701B3DE144739C985671A2F2172B_11</vt:lpwstr>
  </property>
  <property fmtid="{D5CDD505-2E9C-101B-9397-08002B2CF9AE}" pid="4" name="KSOTemplateDocerSaveRecord">
    <vt:lpwstr>eyJoZGlkIjoiYjE1YmFiN2EyOTA4NDExMTM3NTU1OTZlMmZhNzRiYzciLCJ1c2VySWQiOiIxNTU0NDA5ODc2In0=</vt:lpwstr>
  </property>
</Properties>
</file>