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A4B8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bookmarkStart w:id="0" w:name="_Toc43893872"/>
      <w:r>
        <w:rPr>
          <w:rFonts w:hint="eastAsia" w:ascii="方正小标宋简体" w:hAnsi="方正小标宋简体" w:eastAsia="方正小标宋简体" w:cs="方正小标宋简体"/>
          <w:b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威远县高石镇2025年产油大县</w:t>
      </w:r>
    </w:p>
    <w:p w14:paraId="0A289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（设备采购）项目</w:t>
      </w:r>
    </w:p>
    <w:p w14:paraId="46B4CE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sz w:val="44"/>
          <w:szCs w:val="44"/>
          <w:lang w:eastAsia="zh-CN"/>
        </w:rPr>
        <w:t>询价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4"/>
          <w:szCs w:val="44"/>
          <w:lang w:val="en-US" w:eastAsia="zh-CN"/>
        </w:rPr>
        <w:t>公告</w:t>
      </w:r>
    </w:p>
    <w:p w14:paraId="234FCF8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/>
          <w:bCs w:val="0"/>
          <w:color w:val="000000"/>
          <w:sz w:val="36"/>
          <w:szCs w:val="36"/>
          <w:lang w:val="en-US" w:eastAsia="zh-CN"/>
        </w:rPr>
      </w:pPr>
    </w:p>
    <w:p w14:paraId="68C3C28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各潜在供应商：</w:t>
      </w:r>
    </w:p>
    <w:p w14:paraId="561EBC9C"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威远县高石镇2025年产油大县（设备采购）项目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实施方案已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</w:rPr>
        <w:t>由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eastAsia="zh-CN"/>
        </w:rPr>
        <w:t>威远县人民政府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批复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</w:rPr>
        <w:t>，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根据我单位工作安排，拟采购相关设备，现需获取合理设备价格（详见附件）。报价应包含货款、税费、运费（地址在威远县高石镇藕塘村）、安装、调试、操作技术培训等，请各潜在供应商积极、合理、如实的填写报价，并将报价函、报价清单和营业执照复印件加盖公章后的纸质版于2026年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3月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日17:00前反馈给威远县高石镇人民政府。</w:t>
      </w:r>
    </w:p>
    <w:p w14:paraId="25DB8F1F"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</w:pPr>
      <w:bookmarkStart w:id="1" w:name="_GoBack"/>
      <w:bookmarkEnd w:id="1"/>
    </w:p>
    <w:p w14:paraId="1647C3D7"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联系人：郝女士   18398843623</w:t>
      </w:r>
    </w:p>
    <w:p w14:paraId="5B8E2C6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    </w:t>
      </w:r>
      <w:bookmarkEnd w:id="0"/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附件：1.报价函</w:t>
      </w:r>
    </w:p>
    <w:p w14:paraId="5845F5C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1601" w:firstLineChars="500"/>
        <w:textAlignment w:val="auto"/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2.</w:t>
      </w:r>
      <w:r>
        <w:rPr>
          <w:rFonts w:hint="default" w:ascii="Times New Roman" w:hAnsi="Times New Roman" w:eastAsia="方正仿宋简体" w:cs="Times New Roman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威远县高石镇2025年产油大县（设备采购）项目</w:t>
      </w:r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报价清单</w:t>
      </w:r>
    </w:p>
    <w:p w14:paraId="1D119566">
      <w:pPr>
        <w:ind w:left="0" w:leftChars="0" w:firstLine="642" w:firstLineChars="0"/>
        <w:jc w:val="both"/>
        <w:rPr>
          <w:rFonts w:hint="default" w:ascii="Times New Roman" w:hAnsi="Times New Roman" w:eastAsia="方正仿宋简体" w:cs="Times New Roman"/>
          <w:b/>
          <w:bCs w:val="0"/>
          <w:sz w:val="32"/>
          <w:szCs w:val="32"/>
          <w:lang w:val="en-US" w:eastAsia="zh-CN"/>
        </w:rPr>
      </w:pPr>
    </w:p>
    <w:p w14:paraId="678F296F">
      <w:pPr>
        <w:ind w:left="0" w:leftChars="0" w:firstLine="642" w:firstLineChars="0"/>
        <w:jc w:val="both"/>
        <w:rPr>
          <w:rFonts w:hint="default" w:ascii="Times New Roman" w:hAnsi="Times New Roman" w:eastAsia="方正仿宋简体" w:cs="Times New Roman"/>
          <w:b/>
          <w:bCs w:val="0"/>
          <w:sz w:val="32"/>
          <w:szCs w:val="32"/>
          <w:lang w:val="en-US" w:eastAsia="zh-CN"/>
        </w:rPr>
      </w:pPr>
    </w:p>
    <w:p w14:paraId="76DB299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 w:val="0"/>
          <w:sz w:val="32"/>
          <w:szCs w:val="32"/>
          <w:lang w:val="en-US" w:eastAsia="zh-CN"/>
        </w:rPr>
        <w:t xml:space="preserve">                               </w:t>
      </w: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威远县高石镇人民政府</w:t>
      </w:r>
    </w:p>
    <w:p w14:paraId="7E71A23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 xml:space="preserve">                              2026年3月</w:t>
      </w:r>
      <w:r>
        <w:rPr>
          <w:rFonts w:hint="eastAsia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13</w:t>
      </w: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日</w:t>
      </w:r>
    </w:p>
    <w:p w14:paraId="7BE87A6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firstLine="640"/>
        <w:jc w:val="center"/>
        <w:textAlignment w:val="auto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531" w:right="1474" w:bottom="850" w:left="1474" w:header="851" w:footer="992" w:gutter="0"/>
          <w:cols w:space="720" w:num="1"/>
          <w:docGrid w:type="lines" w:linePitch="312" w:charSpace="0"/>
        </w:sectPr>
      </w:pPr>
    </w:p>
    <w:p w14:paraId="1B0367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附件1：</w:t>
      </w:r>
    </w:p>
    <w:p w14:paraId="01311509">
      <w:pPr>
        <w:pStyle w:val="3"/>
        <w:spacing w:before="0" w:after="0" w:line="360" w:lineRule="auto"/>
        <w:jc w:val="center"/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zh-TW" w:eastAsia="zh-CN"/>
        </w:rPr>
      </w:pP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zh-TW" w:eastAsia="zh-CN"/>
        </w:rPr>
        <w:t>报</w:t>
      </w: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zh-TW" w:eastAsia="zh-CN"/>
        </w:rPr>
        <w:t>价 函</w:t>
      </w:r>
    </w:p>
    <w:p w14:paraId="316483F0">
      <w:pPr>
        <w:ind w:left="0" w:leftChars="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:u w:val="none" w:color="auto"/>
          <w:lang w:val="en-US" w:eastAsia="zh-CN" w:bidi="ar-SA"/>
          <w14:textFill>
            <w14:solidFill>
              <w14:schemeClr w14:val="tx1"/>
            </w14:solidFill>
          </w14:textFill>
        </w:rPr>
        <w:t>致：威远县高石镇人民政府</w:t>
      </w:r>
    </w:p>
    <w:p w14:paraId="10DCC1B3">
      <w:pPr>
        <w:ind w:firstLine="560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我公司已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知悉</w:t>
      </w:r>
      <w:r>
        <w:rPr>
          <w:rFonts w:hint="eastAsia" w:ascii="仿宋" w:hAnsi="仿宋" w:eastAsia="仿宋" w:cs="仿宋"/>
          <w:sz w:val="28"/>
          <w:szCs w:val="28"/>
        </w:rPr>
        <w:t>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威远县高石镇2025年产油大县（设备采购）项目  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询价公告</w:t>
      </w:r>
      <w:r>
        <w:rPr>
          <w:rFonts w:hint="eastAsia" w:ascii="仿宋" w:hAnsi="仿宋" w:eastAsia="仿宋" w:cs="仿宋"/>
          <w:sz w:val="28"/>
          <w:szCs w:val="28"/>
          <w:u w:val="none"/>
        </w:rPr>
        <w:t>的全部内容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报价为</w:t>
      </w:r>
      <w:r>
        <w:rPr>
          <w:rFonts w:hint="eastAsia" w:ascii="仿宋" w:hAnsi="仿宋" w:eastAsia="仿宋" w:cs="仿宋"/>
          <w:sz w:val="28"/>
          <w:szCs w:val="28"/>
        </w:rPr>
        <w:t>人民币（大写）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: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>（小写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>¥       元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本公司保证所提供的全部报价和文件的真实性、合法性和有效性。</w:t>
      </w:r>
    </w:p>
    <w:p w14:paraId="054BB9F0">
      <w:pPr>
        <w:rPr>
          <w:rFonts w:hint="eastAsia" w:ascii="仿宋" w:hAnsi="仿宋" w:eastAsia="仿宋" w:cs="仿宋"/>
          <w:sz w:val="28"/>
          <w:szCs w:val="28"/>
        </w:rPr>
      </w:pPr>
    </w:p>
    <w:p w14:paraId="4E89F11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360" w:lineRule="auto"/>
        <w:ind w:firstLine="600" w:firstLineChars="250"/>
        <w:jc w:val="left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</w:p>
    <w:p w14:paraId="2778CDD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360" w:lineRule="auto"/>
        <w:ind w:firstLine="600" w:firstLineChars="250"/>
        <w:jc w:val="left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</w:p>
    <w:p w14:paraId="3ED102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供应商名称（加盖公章）：</w:t>
      </w:r>
    </w:p>
    <w:p w14:paraId="45BD63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联系人：</w:t>
      </w:r>
    </w:p>
    <w:p w14:paraId="3D130A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联系方式：</w:t>
      </w:r>
    </w:p>
    <w:p w14:paraId="5382C9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日期：</w:t>
      </w:r>
    </w:p>
    <w:p w14:paraId="5C6E1548">
      <w:pP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sectPr>
          <w:footerReference r:id="rId11" w:type="default"/>
          <w:pgSz w:w="11906" w:h="16838"/>
          <w:pgMar w:top="1531" w:right="1474" w:bottom="850" w:left="1474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br w:type="page"/>
      </w:r>
    </w:p>
    <w:p w14:paraId="7C0590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  <w:t>附件2：</w:t>
      </w:r>
    </w:p>
    <w:p w14:paraId="46B2A0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威远县高石镇2025年产油大县（设备采购）项目</w:t>
      </w:r>
      <w:r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  <w:t>报价清单</w:t>
      </w:r>
    </w:p>
    <w:tbl>
      <w:tblPr>
        <w:tblStyle w:val="1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8054"/>
        <w:gridCol w:w="1453"/>
        <w:gridCol w:w="916"/>
        <w:gridCol w:w="1417"/>
        <w:gridCol w:w="1421"/>
      </w:tblGrid>
      <w:tr w14:paraId="4A9D3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81" w:type="pct"/>
            <w:noWrap/>
            <w:vAlign w:val="center"/>
          </w:tcPr>
          <w:p w14:paraId="49A9B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设备名称</w:t>
            </w:r>
          </w:p>
        </w:tc>
        <w:tc>
          <w:tcPr>
            <w:tcW w:w="2744" w:type="pct"/>
            <w:noWrap/>
            <w:vAlign w:val="center"/>
          </w:tcPr>
          <w:p w14:paraId="2019A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设备参数</w:t>
            </w:r>
          </w:p>
        </w:tc>
        <w:tc>
          <w:tcPr>
            <w:tcW w:w="495" w:type="pct"/>
            <w:noWrap/>
            <w:vAlign w:val="center"/>
          </w:tcPr>
          <w:p w14:paraId="5FE5F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数量</w:t>
            </w:r>
          </w:p>
        </w:tc>
        <w:tc>
          <w:tcPr>
            <w:tcW w:w="312" w:type="pct"/>
            <w:noWrap w:val="0"/>
            <w:vAlign w:val="center"/>
          </w:tcPr>
          <w:p w14:paraId="0B088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单位</w:t>
            </w:r>
          </w:p>
        </w:tc>
        <w:tc>
          <w:tcPr>
            <w:tcW w:w="482" w:type="pct"/>
            <w:noWrap w:val="0"/>
            <w:vAlign w:val="center"/>
          </w:tcPr>
          <w:p w14:paraId="1F62E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单价（元）</w:t>
            </w:r>
          </w:p>
        </w:tc>
        <w:tc>
          <w:tcPr>
            <w:tcW w:w="484" w:type="pct"/>
            <w:noWrap w:val="0"/>
            <w:vAlign w:val="center"/>
          </w:tcPr>
          <w:p w14:paraId="51229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总价（元）</w:t>
            </w:r>
          </w:p>
        </w:tc>
      </w:tr>
      <w:tr w14:paraId="3C03B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07CB450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低温循环式干燥机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5B10AAB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★1、干燥机型式：批式循环式或循环式；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2、干燥工艺：混流；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3、处理品种： 水稻、小麦、玉米、油菜籽等；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▲4、批处理量：≥20吨；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▲5、破碎率增值：≤0.2%；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6、稻谷爆腰率增值：≤1%；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▲7、干燥速率：≥0.7%/h；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▲8、干燥不均匀度：≤0.3%；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▲9、干燥段总高度：3300mm±50mm；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10、安全性能：粉尘浓度≤5mg/m³，噪声≤82dB(A)；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11、能耗类型：天然气，高压自动点火,两段火控制，双风门自动调节。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069D4641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4EBFCE48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620E4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41199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287A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656AA50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低温循环式干燥机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433F35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★1、干燥机型式：批式循环式或循环式；   </w:t>
            </w:r>
          </w:p>
          <w:p w14:paraId="6DCA2C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2、干燥工艺：横流； </w:t>
            </w:r>
          </w:p>
          <w:p w14:paraId="31E3F16F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22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处理品种：水稻、小麦、玉米等； </w:t>
            </w:r>
          </w:p>
          <w:p w14:paraId="149978D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▲4、批处理量：≥20吨；   </w:t>
            </w:r>
          </w:p>
          <w:p w14:paraId="5302954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▲5、破碎率增值：≤0.2%；       </w:t>
            </w:r>
          </w:p>
          <w:p w14:paraId="6A43080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▲6、干燥速率：≥0.5%/h；  </w:t>
            </w:r>
          </w:p>
          <w:p w14:paraId="62703A7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▲7、干燥不均匀度：≤0.5%； </w:t>
            </w:r>
          </w:p>
          <w:p w14:paraId="06658C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▲8.干燥段总高度：1800mm±50mm；  </w:t>
            </w:r>
          </w:p>
          <w:p w14:paraId="5C904B4C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ind w:left="22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安全性能：粉尘浓度≤7mg/m³，噪声≤83dB(A)；   </w:t>
            </w:r>
          </w:p>
          <w:p w14:paraId="5FABF17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leftChars="0" w:firstLine="22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10、能耗类型：天然气，高压自动点火,两段火控制，双风门自动调节。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6BF8DCA7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2D60EAC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4C738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471B5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6C5A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3FE8B8F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湿谷进粮坑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09D2EA5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1、地坑内空尺寸：≥3m*3m*3m；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2、料斗规格：偏心天方地方型进料斗；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3、料斗采用≥2.5mm热轧钢板、与提升机相连处制作钢板围挡，高度≥1.26m；           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4、进料斗内配备防坠钢格栅，采用≥φ16mm圆钢焊接；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5、手动调节阀；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6、此项设备不含地坑土建施工。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39A86B3D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0F694ABB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727A3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2B70B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E29B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56588AD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1#粮食提升机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6C2BE5F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1.功能：地坑进清选筛使用；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2.处理量：≥30t/h；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3.高度：≥13m；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4.功率：≥4KW；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5.减速机：≥XWD4-11；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6.机头、机座采用≥3mm热轧板、机筒采用≥1.2mm热轧板、防尘轴承、增强型≥600YP-300皮带、≥DS28工程塑料畚斗；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7.鼠笼自清式防破碎滚筒；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8.登高梯：≥40*80*2.5mm矩管、≥20*1.5mm方管组合焊接；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9.工作平台：≥50*50*2.5mm方管、≥20*1.5mm方管、≥30*1.5mm方管、≥5mm镂空钢网板组合焊接，护栏高≥1.2m；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10.玻璃溜管：框架为≥40#角钢，内衬≥5mm玻璃。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62693EC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1DD667F8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00106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0A68D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2E4D6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48E7AC8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粮食清选机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37FDA8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1.处理量:≥30t/h；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2.清理种类：稻谷、小麦、油菜籽等；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3.双层筛网：筛片≥2mm不锈钢板；</w:t>
            </w:r>
          </w:p>
          <w:p w14:paraId="2C71BB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4.机体：国标热轧钢板；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5.振动出粮；</w:t>
            </w:r>
          </w:p>
          <w:p w14:paraId="5753CB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6.除杂：滚动清理与旋风除尘器组合，有效清理粮食灰尘、小杂、大杂；</w:t>
            </w:r>
          </w:p>
          <w:p w14:paraId="2B45B3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7.设备功率：滚动≥4kw、风机≥5.5kw、关风器≥2.2kw、振动≥0.15kw；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5.工作平台：≥80*80*2.5mm方管、≥40*80*2.5mm矩管、≥20*1.5mm方管、≥30*1.5mm方管、≥5mm镂空钢网板，组合焊接，护栏高≥1.2m；</w:t>
            </w:r>
          </w:p>
          <w:p w14:paraId="7E893A78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8.楼梯：≥40*80*2.5mm方管、≥20*1.5mm方管、≥2.5mm花纹钢板梯步组合焊接；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6.玻璃溜管：框架为≥40#角钢，内衬≥5mm玻璃。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2D503C70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279387EE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1E151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1487D0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51FE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4E0BE61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皮带输送机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36D297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1.输送量：≥30t/h，带宽：≥500mm，长度：≥4m，功率：≥3KW；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2.机架：≥40*40*2mm方管焊接；</w:t>
            </w:r>
          </w:p>
          <w:p w14:paraId="6ECD22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3.架空安装：≥40*80*2.5mm矩管支架；</w:t>
            </w:r>
          </w:p>
          <w:p w14:paraId="0973849A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4.钢制接料斗及出料斗，防止粮食飞溅。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5D4FD7A4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3F244475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3CACD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5B758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7B7D3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53806BA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2#粮食提升机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441F4770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1.功能：清选筛进刮板输送机使用；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2.处理量：≥30t/h；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3.高度：≥13m；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4.功率：≥4KW；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5.减速机：≥XWD4-11；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6.机头、机座采用≥3mm热轧板、机筒采用≥1.2mm热轧板、防尘轴承、增强型≥600YP-300皮带、≥DS28工程塑料畚斗；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7.鼠笼自清式防破碎滚筒；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8.登高梯：≥40*80*2.5mm矩管、≥20*1.5mm方管组合焊接；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9.工作平台：≥50*50*2.5mm方管、≥20*1.5mm方管、≥30*1.5mm方管、≥5mm镂空钢网板组合焊接，护栏高≥1.2m；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10.玻璃溜管：框架为≥40#角钢，内衬≥5mm玻璃。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5E9F7208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3283EDF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0410B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6D31B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ED52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4242531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刮板输送机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67AA13C9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1.功能：湿粮进烘干机；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2.输送量：≥30t/h；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3.长度:≥7m；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4.电机：≥4kw；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5.减速机：≥XWD4-29；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6.机体：（宽、高）≥410X320mm,箱体≥2.5mm钢板、盖板≥1.2mm钢板；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7.工作平台：长度≥7m，≥80*80*2.5mm方管、≥40*80*2.5mm方管组合焊接；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8.楼梯：≥40*80*2.5mm方管、≥20*1.5mm方管、≥2.5mm花纹钢板梯步组合焊接；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9.气动阀门：2套，放料口≥400*400mm，直动式，双向气动，含气缸、电磁阀、出粮口集粮器。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41705D62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14CDB89F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38478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5B6A0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77D8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159FFCA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空气压缩机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7F8656C7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活塞式，380V,功率：≥3KW；额定排气压力：≥0.8MPa；公称容积流量：≥0.36m³/min；储气罐容积：≥0.12m³；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1E6BACA7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389E255B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5662D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5EBA8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480E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0A0027C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皮带输送机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542855C2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1.功能：烘干机出料使用；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2.带宽：≥650mm（PVC材质环形带），输送量≥50t/h；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3.长度：≥14m，满足功能需求；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4.电机：≥4kw；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5.减速机：≥XWD4-11；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6.箱体式机架：箱体≥1.5mm钢板、顶盖≥1.2mm镀锌板，驱动滚筒≥φ220X6mm；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7.接粮斗：2套，≥920*830*160mm，材质≥1mm冷板，进料口配置缓冲装置，防止粮食飞溅；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8.楼梯：≥40*80*2.5mm方管、≥20*1.5mm方管、≥2.5mm花纹钢板梯步组合焊接；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9.工作平台:长度≥14m，宽度≥0.65m；高度≥5m；材质≥80*80*2.5mm方管、≥40*80*2.5mm矩管、≥20*1.5mm方管、≥30*1.5mm方管、≥5mm镂空钢网板组合焊接，护栏高≥1.2m；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10.出粮口配备手动分料三通，满足装车及钢仓提升机入粮；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11.溜粮管：外层镀锌钢板，内层耐磨板。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2817A536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6B860992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1467E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622C0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000B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17305D1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全钢锥底钢板仓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7636F2FD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1.容积：≥200m³；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2.采用国产优质热镀锌板，双面镀锌量≥275克/㎡，筒仓波纹板采用连轧式一次成型；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3.螺栓采用钢板仓专用防水螺栓；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4.仓顶盖板≥0.75mm；仓壁板6张/层，共7层，从上至下1-5层≥1.0mm，6-7层≥1.5mm排布；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5.仓底≥45°锥斗，焊接式环梁装配；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6.锥底钢板厚度≥4mm,柱腿≥H194x150mm型钢，拉筋≥L63mm等边角钢，螺杆与垫片制成一体，自带密封胶垫，接缝处安装航空胶泥；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7.仓上设置≥4个自然通风孔，带仓内登高梯，含仓门平台及落地楼梯与护笼；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8.出粮口距地面≥1.2米；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9.不含土建基础。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62820EE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4B7B843E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2FF56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212F0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2FA2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4310D2C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料位器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388E4D0D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阻旋式，满仓后自动报警，配一台声光报警装置。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6103CCB5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654FAA0D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82" w:type="pct"/>
            <w:noWrap w:val="0"/>
            <w:vAlign w:val="center"/>
          </w:tcPr>
          <w:p w14:paraId="51C6E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5BC459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AB63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194CF7D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粮情测温系统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312223C9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每仓三条测温电缆（带钢缆），有线配置，手持式巡检仪一台。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57046481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3479B2F7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2C6A6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710EED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9387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24EC830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仓底环形通风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3F1234A6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镀锌钢板制作，咬口式环形风道、风管、链接法兰、风帽等，通风地笼分布于锥底。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4F2F1DD5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457CFC03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27F43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3F64D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9ECF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57F8946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通风机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0551AF72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≥7.5kw离心风机，安装于仓底地面。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10F6362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260AB0F4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0C7459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4A0C3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2B25E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7E4BA49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仓顶引风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2185A0C5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仓顶配置2台引风机，用于吸出仓内潮气。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7C6C550E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6C41FE81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44113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2AA02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C37D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1DE7F08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进仓斗式提升机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3B81AC7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1.产量：≥40t/H（稻谷）；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2.高度：≥17米，满足功能需求；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3.功率：≥5.5kW；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4.机头：设置观察窗，头轮采用覆胶工艺；</w:t>
            </w:r>
          </w:p>
          <w:p w14:paraId="652648B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5.防逆转高强度畚斗带,聚乙烯塑料畚斗</w:t>
            </w:r>
          </w:p>
          <w:p w14:paraId="7896FF2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6.机筒：咬边镀锌机筒，壁厚≥2mm，设观察窗、防爆装置、检修口，底部排料闸门，丝杆式张紧装置，镀锌防腐处理；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7.动力部分安装防雨罩，采用螺栓装配，便于拆装。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2145E2A2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5223772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35A56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51B8E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636B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17045FA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提升机井架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172EFD8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1.尺寸：≥2.2*2.2m；</w:t>
            </w:r>
          </w:p>
          <w:p w14:paraId="15663F0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2.高度：≥18米；</w:t>
            </w:r>
          </w:p>
          <w:p w14:paraId="13B5363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3.每层设有折返楼梯、休息平台；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4.主架≥L80mm等边角钢，横撑≥L63mm等边角钢，≥1寸扶手，斜拉≥50mm等边角钢，所有踏板平台采用钢格栅板，人员上下检查、检修安全快捷，所有材料采用镀锌防腐处理，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4F7E3E4F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62DF563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</w:t>
            </w:r>
          </w:p>
        </w:tc>
        <w:tc>
          <w:tcPr>
            <w:tcW w:w="482" w:type="pct"/>
            <w:noWrap w:val="0"/>
            <w:vAlign w:val="center"/>
          </w:tcPr>
          <w:p w14:paraId="20823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333F2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1090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501B188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电动三通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099B8BFD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1.镀锌材料制作，用于分配进粮。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2.功率：≥0.37kW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61CB6D9D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1EEB076C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51CC5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1EC9E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6C75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51D21C9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进仓溜管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00721C8E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方型溜管，外壳为镀锌钢板，底部及侧壁装配≥10mm高分子耐磨板，长度满足功能需求。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34E0F8B1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5F752776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82" w:type="pct"/>
            <w:noWrap w:val="0"/>
            <w:vAlign w:val="center"/>
          </w:tcPr>
          <w:p w14:paraId="4F2E3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11F498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92A82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76D40C9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溜管悬梯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44FE96B1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装配式镀锌结构。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277446C5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522473E4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482" w:type="pct"/>
            <w:noWrap w:val="0"/>
            <w:vAlign w:val="center"/>
          </w:tcPr>
          <w:p w14:paraId="642E92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2E2BA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3A88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64F4C23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缓冲器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2EBDA88A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安装在仓顶进料口，减缓入粮冲力，减少破碎。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40A2F3A7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6771E31F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82" w:type="pct"/>
            <w:noWrap w:val="0"/>
            <w:vAlign w:val="center"/>
          </w:tcPr>
          <w:p w14:paraId="70402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5EE7F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1979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376F97A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仓下手电动阀门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480D4A40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1.配置丝杠、丝母装置、耐低温接近开关，≥4mm钢板制作。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2.功率：≥0.37kW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6B962A17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1DAA3D03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482" w:type="pct"/>
            <w:noWrap w:val="0"/>
            <w:vAlign w:val="center"/>
          </w:tcPr>
          <w:p w14:paraId="5FBB27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78CFC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4210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58482C3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移动式皮带输送机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22E1BA03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1.输送高度：2.3m-5.2m；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2.输送带：≥650mm（三层带）硫化热合连接；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3.配套动力：传动：≥5.5KW；升降：≥2.2KW；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4.线速度：≥1.6m/s；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5.传送滚筒：≥Φ220mm*700mm滚筒表面膛胶、胶层最高部位≥10mm；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6.托辊：≥Φ57mm，壁厚≥3mm，Q235无缝钢管；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7.升降部分必须加装限位安全装置；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8.行走轮：≥Φ650mm汽车专用轮胎；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9.电机采用接触器控制，开关带热保护功能，电源380V；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10.输送量：≥80t/h；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11.长度：≥12米；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0B50F882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17D4F3D4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482" w:type="pct"/>
            <w:noWrap w:val="0"/>
            <w:vAlign w:val="center"/>
          </w:tcPr>
          <w:p w14:paraId="79F9B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3DB1E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89F6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481" w:type="pct"/>
            <w:shd w:val="clear" w:color="auto" w:fill="auto"/>
            <w:noWrap/>
            <w:vAlign w:val="center"/>
          </w:tcPr>
          <w:p w14:paraId="4EA9EE9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辅助设备集成电控系统</w:t>
            </w:r>
          </w:p>
        </w:tc>
        <w:tc>
          <w:tcPr>
            <w:tcW w:w="2744" w:type="pct"/>
            <w:shd w:val="clear" w:color="auto" w:fill="auto"/>
            <w:noWrap/>
            <w:vAlign w:val="center"/>
          </w:tcPr>
          <w:p w14:paraId="667D7EF0"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1.柜体：≥1700*700*400mm；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2.安装方式：落地安装；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3.控制范围：按钮式控制、清选筛、提升机、皮带输送机、刮板输送机、钢板仓、气动阀门等设备自动启停；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4.电缆敷设方式：穿管敷设；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5.成套设备供货、安装、箱体开孔、压铜端子接线及端子外部接线、支架、接地等综合考虑；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6.设备电缆综合考虑；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7.不含设备控制柜引入主电缆。</w:t>
            </w:r>
          </w:p>
        </w:tc>
        <w:tc>
          <w:tcPr>
            <w:tcW w:w="495" w:type="pct"/>
            <w:shd w:val="clear" w:color="auto" w:fill="auto"/>
            <w:noWrap/>
            <w:vAlign w:val="center"/>
          </w:tcPr>
          <w:p w14:paraId="493125EB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2" w:type="pct"/>
            <w:shd w:val="clear" w:color="auto" w:fill="auto"/>
            <w:noWrap w:val="0"/>
            <w:vAlign w:val="center"/>
          </w:tcPr>
          <w:p w14:paraId="4370A52B">
            <w:pPr>
              <w:keepNext w:val="0"/>
              <w:keepLines w:val="0"/>
              <w:widowControl/>
              <w:suppressLineNumbers w:val="0"/>
              <w:ind w:firstLine="44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482" w:type="pct"/>
            <w:noWrap w:val="0"/>
            <w:vAlign w:val="center"/>
          </w:tcPr>
          <w:p w14:paraId="34B8D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84" w:type="pct"/>
            <w:noWrap w:val="0"/>
            <w:vAlign w:val="center"/>
          </w:tcPr>
          <w:p w14:paraId="24384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9E25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  <w:jc w:val="center"/>
        </w:trPr>
        <w:tc>
          <w:tcPr>
            <w:tcW w:w="4515" w:type="pct"/>
            <w:gridSpan w:val="5"/>
            <w:noWrap/>
            <w:vAlign w:val="center"/>
          </w:tcPr>
          <w:p w14:paraId="27567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合计（元）</w:t>
            </w:r>
          </w:p>
        </w:tc>
        <w:tc>
          <w:tcPr>
            <w:tcW w:w="484" w:type="pct"/>
            <w:noWrap w:val="0"/>
            <w:vAlign w:val="center"/>
          </w:tcPr>
          <w:p w14:paraId="74A7D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467B37C3">
      <w:pP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/>
          <w:lang w:val="en-US" w:eastAsia="zh-CN"/>
        </w:rPr>
        <w:t>注：1、带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★参数必须满足，否则视为无效投标；</w:t>
      </w:r>
    </w:p>
    <w:p w14:paraId="5A4176A1">
      <w:pPr>
        <w:numPr>
          <w:ilvl w:val="0"/>
          <w:numId w:val="3"/>
        </w:numPr>
        <w:ind w:left="440" w:leftChars="0" w:firstLine="0" w:firstLineChars="0"/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带▲参数为重点参数，不满足按评分标准扣分；</w:t>
      </w:r>
    </w:p>
    <w:p w14:paraId="7C96E713">
      <w:pPr>
        <w:numPr>
          <w:ilvl w:val="0"/>
          <w:numId w:val="3"/>
        </w:numPr>
        <w:ind w:left="440" w:leftChars="0" w:firstLine="0" w:firstLineChars="0"/>
        <w:rPr>
          <w:rFonts w:hint="default" w:ascii="宋体" w:hAnsi="宋体" w:eastAsia="宋体" w:cs="宋体"/>
          <w:b w:val="0"/>
          <w:bCs w:val="0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带★、▲参数均需提供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具有检测资质的第三方检测机构出具的带CMA标识的检验（测）报告或推广鉴定报告予以佐证，无佐证材料视为不满足。</w:t>
      </w:r>
    </w:p>
    <w:p w14:paraId="1D2DED00">
      <w:pPr>
        <w:rPr>
          <w:rFonts w:hint="eastAsia"/>
          <w:lang w:val="en-US" w:eastAsia="zh-CN"/>
        </w:rPr>
        <w:sectPr>
          <w:pgSz w:w="16838" w:h="11906" w:orient="landscape"/>
          <w:pgMar w:top="1474" w:right="1531" w:bottom="1474" w:left="850" w:header="851" w:footer="992" w:gutter="0"/>
          <w:cols w:space="720" w:num="1"/>
          <w:docGrid w:type="lines" w:linePitch="312" w:charSpace="0"/>
        </w:sectPr>
      </w:pPr>
    </w:p>
    <w:p w14:paraId="16658E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lang w:val="en-US" w:eastAsia="zh-CN"/>
        </w:rPr>
        <w:t>3、营业执照</w:t>
      </w:r>
    </w:p>
    <w:p w14:paraId="5E07DEBB">
      <w:pPr>
        <w:rPr>
          <w:rFonts w:hint="eastAsia" w:ascii="仿宋" w:hAnsi="仿宋" w:eastAsia="仿宋" w:cs="仿宋"/>
          <w:lang w:val="en-US" w:eastAsia="zh-CN"/>
        </w:rPr>
      </w:pPr>
    </w:p>
    <w:sectPr>
      <w:pgSz w:w="11906" w:h="16838"/>
      <w:pgMar w:top="1531" w:right="1474" w:bottom="850" w:left="1474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KSOF439F63AF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B0FB5">
    <w:pPr>
      <w:keepNext w:val="0"/>
      <w:keepLines w:val="0"/>
      <w:pageBreakBefore w:val="0"/>
      <w:widowControl w:val="0"/>
      <w:tabs>
        <w:tab w:val="left" w:pos="538"/>
      </w:tabs>
      <w:kinsoku/>
      <w:wordWrap/>
      <w:overflowPunct/>
      <w:topLinePunct w:val="0"/>
      <w:bidi w:val="0"/>
      <w:snapToGrid/>
      <w:spacing w:line="580" w:lineRule="exact"/>
      <w:ind w:left="0" w:leftChars="0" w:firstLine="560" w:firstLineChars="200"/>
      <w:jc w:val="left"/>
      <w:textAlignment w:val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A29EA">
    <w:pPr>
      <w:pStyle w:val="9"/>
      <w:framePr w:wrap="around" w:vAnchor="text" w:hAnchor="margin" w:xAlign="center" w:y="1"/>
      <w:ind w:firstLine="360"/>
      <w:rPr>
        <w:rStyle w:val="16"/>
      </w:rPr>
    </w:pPr>
    <w:r>
      <w:rPr>
        <w:rStyle w:val="16"/>
      </w:rPr>
      <w:fldChar w:fldCharType="begin"/>
    </w:r>
    <w:r>
      <w:rPr>
        <w:rStyle w:val="16"/>
      </w:rPr>
      <w:instrText xml:space="preserve">PAGE  </w:instrText>
    </w:r>
    <w:r>
      <w:rPr>
        <w:rStyle w:val="16"/>
      </w:rPr>
      <w:fldChar w:fldCharType="end"/>
    </w:r>
  </w:p>
  <w:p w14:paraId="3ABD4B54">
    <w:pPr>
      <w:pStyle w:val="9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1F4594">
    <w:pPr>
      <w:pStyle w:val="9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D67B04">
    <w:pPr>
      <w:pStyle w:val="9"/>
      <w:jc w:val="center"/>
      <w:rPr>
        <w:rFonts w:ascii="宋体" w:hAnsi="宋体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D5370A">
                          <w:pPr>
                            <w:pStyle w:val="9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t>27</w: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DD5370A">
                    <w:pPr>
                      <w:pStyle w:val="9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eastAsia="宋体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="宋体"/>
                        <w:lang w:eastAsia="zh-CN"/>
                      </w:rPr>
                      <w:t>27</w: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F062DE">
    <w:pPr>
      <w:pStyle w:val="10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099D7E">
    <w:pPr>
      <w:pStyle w:val="1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1712C0">
    <w:pPr>
      <w:pStyle w:val="10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ADBEAB"/>
    <w:multiLevelType w:val="singleLevel"/>
    <w:tmpl w:val="3EADBEAB"/>
    <w:lvl w:ilvl="0" w:tentative="0">
      <w:start w:val="3"/>
      <w:numFmt w:val="decimal"/>
      <w:suff w:val="nothing"/>
      <w:lvlText w:val="%1、"/>
      <w:lvlJc w:val="left"/>
      <w:pPr>
        <w:ind w:left="220" w:leftChars="0" w:firstLine="0" w:firstLineChars="0"/>
      </w:pPr>
    </w:lvl>
  </w:abstractNum>
  <w:abstractNum w:abstractNumId="1">
    <w:nsid w:val="7004BA8C"/>
    <w:multiLevelType w:val="singleLevel"/>
    <w:tmpl w:val="7004BA8C"/>
    <w:lvl w:ilvl="0" w:tentative="0">
      <w:start w:val="9"/>
      <w:numFmt w:val="decimal"/>
      <w:suff w:val="nothing"/>
      <w:lvlText w:val="%1、"/>
      <w:lvlJc w:val="left"/>
      <w:pPr>
        <w:ind w:left="220" w:leftChars="0" w:firstLine="0" w:firstLineChars="0"/>
      </w:pPr>
    </w:lvl>
  </w:abstractNum>
  <w:abstractNum w:abstractNumId="2">
    <w:nsid w:val="7AA29668"/>
    <w:multiLevelType w:val="singleLevel"/>
    <w:tmpl w:val="7AA29668"/>
    <w:lvl w:ilvl="0" w:tentative="0">
      <w:start w:val="2"/>
      <w:numFmt w:val="decimal"/>
      <w:suff w:val="nothing"/>
      <w:lvlText w:val="%1、"/>
      <w:lvlJc w:val="left"/>
      <w:pPr>
        <w:ind w:left="440" w:leftChars="0" w:firstLine="0" w:firstLineChars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1M2Q5ZDJkNjM5ZDllZGMwMjI3ZDg0ZTUzNjcwMmUifQ=="/>
    <w:docVar w:name="KSO_WPS_MARK_KEY" w:val="c793fc31-4380-482b-9424-a84149080bf9"/>
  </w:docVars>
  <w:rsids>
    <w:rsidRoot w:val="00172A27"/>
    <w:rsid w:val="00001DEA"/>
    <w:rsid w:val="000119DE"/>
    <w:rsid w:val="000260F6"/>
    <w:rsid w:val="000354C8"/>
    <w:rsid w:val="00037712"/>
    <w:rsid w:val="0004152B"/>
    <w:rsid w:val="0004704C"/>
    <w:rsid w:val="000519AA"/>
    <w:rsid w:val="00054C1F"/>
    <w:rsid w:val="0006725A"/>
    <w:rsid w:val="000703AC"/>
    <w:rsid w:val="000744DB"/>
    <w:rsid w:val="00087D61"/>
    <w:rsid w:val="000903CA"/>
    <w:rsid w:val="0009205D"/>
    <w:rsid w:val="0009405E"/>
    <w:rsid w:val="000A65A9"/>
    <w:rsid w:val="000C163A"/>
    <w:rsid w:val="000D01B7"/>
    <w:rsid w:val="000D1E3E"/>
    <w:rsid w:val="000D6C7A"/>
    <w:rsid w:val="000E10F1"/>
    <w:rsid w:val="000E1C1F"/>
    <w:rsid w:val="000E6C5F"/>
    <w:rsid w:val="000F03DD"/>
    <w:rsid w:val="000F68CD"/>
    <w:rsid w:val="00106C76"/>
    <w:rsid w:val="00110FC8"/>
    <w:rsid w:val="0011468E"/>
    <w:rsid w:val="00114D84"/>
    <w:rsid w:val="00134268"/>
    <w:rsid w:val="00144615"/>
    <w:rsid w:val="00172A27"/>
    <w:rsid w:val="001734EC"/>
    <w:rsid w:val="001766CB"/>
    <w:rsid w:val="00176CB2"/>
    <w:rsid w:val="00197F3A"/>
    <w:rsid w:val="001B3B65"/>
    <w:rsid w:val="001B70E9"/>
    <w:rsid w:val="001E3D21"/>
    <w:rsid w:val="001E7EC0"/>
    <w:rsid w:val="001F1ED0"/>
    <w:rsid w:val="00210B25"/>
    <w:rsid w:val="00212847"/>
    <w:rsid w:val="002201FB"/>
    <w:rsid w:val="002534BB"/>
    <w:rsid w:val="00255776"/>
    <w:rsid w:val="00270D07"/>
    <w:rsid w:val="00275A40"/>
    <w:rsid w:val="002878E8"/>
    <w:rsid w:val="002A1573"/>
    <w:rsid w:val="002A4944"/>
    <w:rsid w:val="002A7F77"/>
    <w:rsid w:val="002C25BB"/>
    <w:rsid w:val="002C3E63"/>
    <w:rsid w:val="002E5D5B"/>
    <w:rsid w:val="002F3CEE"/>
    <w:rsid w:val="003025F6"/>
    <w:rsid w:val="0030263F"/>
    <w:rsid w:val="00305702"/>
    <w:rsid w:val="00311C9C"/>
    <w:rsid w:val="00312EE8"/>
    <w:rsid w:val="00331527"/>
    <w:rsid w:val="0034410F"/>
    <w:rsid w:val="00356985"/>
    <w:rsid w:val="0036122D"/>
    <w:rsid w:val="003766D0"/>
    <w:rsid w:val="00395515"/>
    <w:rsid w:val="0039785E"/>
    <w:rsid w:val="00397D59"/>
    <w:rsid w:val="003A1C4B"/>
    <w:rsid w:val="003A7031"/>
    <w:rsid w:val="003C4E50"/>
    <w:rsid w:val="003C6879"/>
    <w:rsid w:val="003C7DF3"/>
    <w:rsid w:val="003D31D5"/>
    <w:rsid w:val="003D6971"/>
    <w:rsid w:val="003D6E7D"/>
    <w:rsid w:val="003D72EA"/>
    <w:rsid w:val="003E0D64"/>
    <w:rsid w:val="003E2830"/>
    <w:rsid w:val="003F1C25"/>
    <w:rsid w:val="003F7DC4"/>
    <w:rsid w:val="00403D8B"/>
    <w:rsid w:val="004101DC"/>
    <w:rsid w:val="00415712"/>
    <w:rsid w:val="004352B6"/>
    <w:rsid w:val="00452FB9"/>
    <w:rsid w:val="0048394B"/>
    <w:rsid w:val="00493127"/>
    <w:rsid w:val="00496E22"/>
    <w:rsid w:val="004A6C68"/>
    <w:rsid w:val="004C1970"/>
    <w:rsid w:val="004D3F3B"/>
    <w:rsid w:val="004E11E4"/>
    <w:rsid w:val="004E49A1"/>
    <w:rsid w:val="004E7556"/>
    <w:rsid w:val="004F7097"/>
    <w:rsid w:val="00503F0B"/>
    <w:rsid w:val="0051673E"/>
    <w:rsid w:val="005422A0"/>
    <w:rsid w:val="00542553"/>
    <w:rsid w:val="00545D5E"/>
    <w:rsid w:val="00546CF5"/>
    <w:rsid w:val="00565A49"/>
    <w:rsid w:val="00571DA0"/>
    <w:rsid w:val="00580648"/>
    <w:rsid w:val="005855D3"/>
    <w:rsid w:val="005866EC"/>
    <w:rsid w:val="00592BA8"/>
    <w:rsid w:val="00595BCB"/>
    <w:rsid w:val="00597027"/>
    <w:rsid w:val="005A5C3D"/>
    <w:rsid w:val="005A73F6"/>
    <w:rsid w:val="005B4206"/>
    <w:rsid w:val="005C0455"/>
    <w:rsid w:val="005C3F2A"/>
    <w:rsid w:val="005C44ED"/>
    <w:rsid w:val="005C510C"/>
    <w:rsid w:val="005E0E79"/>
    <w:rsid w:val="005E39B1"/>
    <w:rsid w:val="005F2DF3"/>
    <w:rsid w:val="0061305B"/>
    <w:rsid w:val="00614842"/>
    <w:rsid w:val="00616379"/>
    <w:rsid w:val="00617165"/>
    <w:rsid w:val="0063319E"/>
    <w:rsid w:val="0065332B"/>
    <w:rsid w:val="006549F3"/>
    <w:rsid w:val="00663C31"/>
    <w:rsid w:val="00671087"/>
    <w:rsid w:val="00677118"/>
    <w:rsid w:val="00682080"/>
    <w:rsid w:val="00685F56"/>
    <w:rsid w:val="006901AF"/>
    <w:rsid w:val="00691A87"/>
    <w:rsid w:val="006939BB"/>
    <w:rsid w:val="006952E3"/>
    <w:rsid w:val="00695DCB"/>
    <w:rsid w:val="006A77C6"/>
    <w:rsid w:val="006B7E68"/>
    <w:rsid w:val="006C6E0F"/>
    <w:rsid w:val="006C7F7A"/>
    <w:rsid w:val="006D101E"/>
    <w:rsid w:val="006F2DA5"/>
    <w:rsid w:val="007055DA"/>
    <w:rsid w:val="00706B8C"/>
    <w:rsid w:val="007140E4"/>
    <w:rsid w:val="00714FB7"/>
    <w:rsid w:val="007162CF"/>
    <w:rsid w:val="00727C94"/>
    <w:rsid w:val="00731429"/>
    <w:rsid w:val="0074098A"/>
    <w:rsid w:val="00757AB1"/>
    <w:rsid w:val="00772B5F"/>
    <w:rsid w:val="00774C13"/>
    <w:rsid w:val="0078505E"/>
    <w:rsid w:val="0078554D"/>
    <w:rsid w:val="00787426"/>
    <w:rsid w:val="00792C3A"/>
    <w:rsid w:val="007A164D"/>
    <w:rsid w:val="007A348E"/>
    <w:rsid w:val="007A58C6"/>
    <w:rsid w:val="007C20B8"/>
    <w:rsid w:val="007C2846"/>
    <w:rsid w:val="007F1C45"/>
    <w:rsid w:val="007F4C0F"/>
    <w:rsid w:val="008161CD"/>
    <w:rsid w:val="0081769E"/>
    <w:rsid w:val="008231FD"/>
    <w:rsid w:val="008278FC"/>
    <w:rsid w:val="008349D1"/>
    <w:rsid w:val="00851096"/>
    <w:rsid w:val="0085209C"/>
    <w:rsid w:val="00862F82"/>
    <w:rsid w:val="00867F80"/>
    <w:rsid w:val="008726BC"/>
    <w:rsid w:val="008733C4"/>
    <w:rsid w:val="00873D8C"/>
    <w:rsid w:val="008762CE"/>
    <w:rsid w:val="00885846"/>
    <w:rsid w:val="008866C0"/>
    <w:rsid w:val="008A1440"/>
    <w:rsid w:val="008B6931"/>
    <w:rsid w:val="008C0F00"/>
    <w:rsid w:val="008C0FE4"/>
    <w:rsid w:val="008C7D97"/>
    <w:rsid w:val="008D6819"/>
    <w:rsid w:val="008D7358"/>
    <w:rsid w:val="00905C55"/>
    <w:rsid w:val="009141BF"/>
    <w:rsid w:val="00917483"/>
    <w:rsid w:val="0093349D"/>
    <w:rsid w:val="009454C4"/>
    <w:rsid w:val="00951FDA"/>
    <w:rsid w:val="00954062"/>
    <w:rsid w:val="0095427D"/>
    <w:rsid w:val="009575CC"/>
    <w:rsid w:val="00962986"/>
    <w:rsid w:val="00973614"/>
    <w:rsid w:val="009871CC"/>
    <w:rsid w:val="009C6E68"/>
    <w:rsid w:val="009C7B92"/>
    <w:rsid w:val="009E362E"/>
    <w:rsid w:val="009F03A2"/>
    <w:rsid w:val="009F1D85"/>
    <w:rsid w:val="00A01558"/>
    <w:rsid w:val="00A05DC1"/>
    <w:rsid w:val="00A27CEA"/>
    <w:rsid w:val="00A30F58"/>
    <w:rsid w:val="00A31FBD"/>
    <w:rsid w:val="00A3611E"/>
    <w:rsid w:val="00A40111"/>
    <w:rsid w:val="00A42D03"/>
    <w:rsid w:val="00A4326D"/>
    <w:rsid w:val="00A47435"/>
    <w:rsid w:val="00A62397"/>
    <w:rsid w:val="00A80597"/>
    <w:rsid w:val="00A858E9"/>
    <w:rsid w:val="00A92C0D"/>
    <w:rsid w:val="00A95113"/>
    <w:rsid w:val="00AA5A26"/>
    <w:rsid w:val="00AA61FD"/>
    <w:rsid w:val="00AA6746"/>
    <w:rsid w:val="00AB7285"/>
    <w:rsid w:val="00AC3850"/>
    <w:rsid w:val="00AD5C05"/>
    <w:rsid w:val="00AD7895"/>
    <w:rsid w:val="00AE53C9"/>
    <w:rsid w:val="00AE6695"/>
    <w:rsid w:val="00B048DE"/>
    <w:rsid w:val="00B17CDD"/>
    <w:rsid w:val="00B2187E"/>
    <w:rsid w:val="00B21C48"/>
    <w:rsid w:val="00B24FF5"/>
    <w:rsid w:val="00B40769"/>
    <w:rsid w:val="00B42B03"/>
    <w:rsid w:val="00B42BDE"/>
    <w:rsid w:val="00B4653C"/>
    <w:rsid w:val="00B5065E"/>
    <w:rsid w:val="00B51793"/>
    <w:rsid w:val="00B5247F"/>
    <w:rsid w:val="00B55F69"/>
    <w:rsid w:val="00B73E41"/>
    <w:rsid w:val="00B749A6"/>
    <w:rsid w:val="00B8169C"/>
    <w:rsid w:val="00B854E2"/>
    <w:rsid w:val="00B860D6"/>
    <w:rsid w:val="00B90D03"/>
    <w:rsid w:val="00B92B6E"/>
    <w:rsid w:val="00BA1989"/>
    <w:rsid w:val="00BA3A14"/>
    <w:rsid w:val="00BA5E48"/>
    <w:rsid w:val="00BA61A9"/>
    <w:rsid w:val="00BB5D89"/>
    <w:rsid w:val="00BC1958"/>
    <w:rsid w:val="00BD4677"/>
    <w:rsid w:val="00BD5925"/>
    <w:rsid w:val="00BE101D"/>
    <w:rsid w:val="00BE10F4"/>
    <w:rsid w:val="00BE305C"/>
    <w:rsid w:val="00BF0DDC"/>
    <w:rsid w:val="00BF3BDB"/>
    <w:rsid w:val="00C20097"/>
    <w:rsid w:val="00C34C63"/>
    <w:rsid w:val="00C44B73"/>
    <w:rsid w:val="00C501CE"/>
    <w:rsid w:val="00C53F0A"/>
    <w:rsid w:val="00C7401A"/>
    <w:rsid w:val="00C86256"/>
    <w:rsid w:val="00C87892"/>
    <w:rsid w:val="00C91BE6"/>
    <w:rsid w:val="00C91DBC"/>
    <w:rsid w:val="00C92E54"/>
    <w:rsid w:val="00C96187"/>
    <w:rsid w:val="00CB0205"/>
    <w:rsid w:val="00CB0723"/>
    <w:rsid w:val="00CB3BF7"/>
    <w:rsid w:val="00CC6896"/>
    <w:rsid w:val="00CD54DD"/>
    <w:rsid w:val="00CE0CBD"/>
    <w:rsid w:val="00CE438F"/>
    <w:rsid w:val="00CF4195"/>
    <w:rsid w:val="00D00C33"/>
    <w:rsid w:val="00D11485"/>
    <w:rsid w:val="00D16EE5"/>
    <w:rsid w:val="00D34E96"/>
    <w:rsid w:val="00D423DC"/>
    <w:rsid w:val="00D45879"/>
    <w:rsid w:val="00D46BEE"/>
    <w:rsid w:val="00D5695D"/>
    <w:rsid w:val="00D67C6E"/>
    <w:rsid w:val="00D7501B"/>
    <w:rsid w:val="00D8527D"/>
    <w:rsid w:val="00D8553D"/>
    <w:rsid w:val="00D86BED"/>
    <w:rsid w:val="00D92D31"/>
    <w:rsid w:val="00D93A61"/>
    <w:rsid w:val="00D97F93"/>
    <w:rsid w:val="00DA5ADA"/>
    <w:rsid w:val="00DB2BC5"/>
    <w:rsid w:val="00DC47CD"/>
    <w:rsid w:val="00DC6B18"/>
    <w:rsid w:val="00DD18AA"/>
    <w:rsid w:val="00DD549E"/>
    <w:rsid w:val="00E14C95"/>
    <w:rsid w:val="00E248A5"/>
    <w:rsid w:val="00E32EC7"/>
    <w:rsid w:val="00E378C2"/>
    <w:rsid w:val="00E4281C"/>
    <w:rsid w:val="00E46A26"/>
    <w:rsid w:val="00E47232"/>
    <w:rsid w:val="00E804A8"/>
    <w:rsid w:val="00E81117"/>
    <w:rsid w:val="00E817BF"/>
    <w:rsid w:val="00E81D1F"/>
    <w:rsid w:val="00E91D4D"/>
    <w:rsid w:val="00E94513"/>
    <w:rsid w:val="00E97C69"/>
    <w:rsid w:val="00EC45DD"/>
    <w:rsid w:val="00EC4955"/>
    <w:rsid w:val="00ED4875"/>
    <w:rsid w:val="00EE2975"/>
    <w:rsid w:val="00EE6BF4"/>
    <w:rsid w:val="00EF16B0"/>
    <w:rsid w:val="00EF3B35"/>
    <w:rsid w:val="00F05362"/>
    <w:rsid w:val="00F129FB"/>
    <w:rsid w:val="00F206A7"/>
    <w:rsid w:val="00F22DF1"/>
    <w:rsid w:val="00F2697E"/>
    <w:rsid w:val="00F32764"/>
    <w:rsid w:val="00F357AD"/>
    <w:rsid w:val="00F54F27"/>
    <w:rsid w:val="00F63502"/>
    <w:rsid w:val="00FA6186"/>
    <w:rsid w:val="00FB1BC4"/>
    <w:rsid w:val="00FB746D"/>
    <w:rsid w:val="00FB7CAD"/>
    <w:rsid w:val="00FC4208"/>
    <w:rsid w:val="00FD5DAD"/>
    <w:rsid w:val="00FD60B4"/>
    <w:rsid w:val="00FE44CF"/>
    <w:rsid w:val="00FE695C"/>
    <w:rsid w:val="00FF174E"/>
    <w:rsid w:val="014C083C"/>
    <w:rsid w:val="020967F0"/>
    <w:rsid w:val="0519220B"/>
    <w:rsid w:val="05EB6F79"/>
    <w:rsid w:val="075B70A1"/>
    <w:rsid w:val="07BE0688"/>
    <w:rsid w:val="09B55EFA"/>
    <w:rsid w:val="0B5A3A0D"/>
    <w:rsid w:val="0CB03C5C"/>
    <w:rsid w:val="0CD93022"/>
    <w:rsid w:val="0CFD1D6F"/>
    <w:rsid w:val="0DF5343F"/>
    <w:rsid w:val="0E7B2823"/>
    <w:rsid w:val="0F2223EB"/>
    <w:rsid w:val="156E51A0"/>
    <w:rsid w:val="15832C54"/>
    <w:rsid w:val="15CB5C16"/>
    <w:rsid w:val="167A4B04"/>
    <w:rsid w:val="181203B7"/>
    <w:rsid w:val="1982691A"/>
    <w:rsid w:val="19B04791"/>
    <w:rsid w:val="1AC87A55"/>
    <w:rsid w:val="1B9118D8"/>
    <w:rsid w:val="1BAF5999"/>
    <w:rsid w:val="1D836DC4"/>
    <w:rsid w:val="20345DD9"/>
    <w:rsid w:val="240C2B55"/>
    <w:rsid w:val="24691888"/>
    <w:rsid w:val="26667E05"/>
    <w:rsid w:val="2679303C"/>
    <w:rsid w:val="27762449"/>
    <w:rsid w:val="283F7125"/>
    <w:rsid w:val="2A2E0977"/>
    <w:rsid w:val="2F0041B8"/>
    <w:rsid w:val="2FB93681"/>
    <w:rsid w:val="3195334D"/>
    <w:rsid w:val="320D13A3"/>
    <w:rsid w:val="33CD138B"/>
    <w:rsid w:val="34480B4A"/>
    <w:rsid w:val="347A7615"/>
    <w:rsid w:val="35A01E2C"/>
    <w:rsid w:val="360D59D5"/>
    <w:rsid w:val="369B492A"/>
    <w:rsid w:val="39BA23E6"/>
    <w:rsid w:val="3B9B7422"/>
    <w:rsid w:val="3BF1023A"/>
    <w:rsid w:val="3BF61D24"/>
    <w:rsid w:val="3DB510D4"/>
    <w:rsid w:val="3E0C68B4"/>
    <w:rsid w:val="3EF142B8"/>
    <w:rsid w:val="4132057B"/>
    <w:rsid w:val="42065DDE"/>
    <w:rsid w:val="45FC4BEE"/>
    <w:rsid w:val="46162856"/>
    <w:rsid w:val="46C202E8"/>
    <w:rsid w:val="474F5531"/>
    <w:rsid w:val="49CA4084"/>
    <w:rsid w:val="4B452534"/>
    <w:rsid w:val="4B6C5146"/>
    <w:rsid w:val="4B887D1B"/>
    <w:rsid w:val="4D5F1A29"/>
    <w:rsid w:val="4D7A49C0"/>
    <w:rsid w:val="4DCE3A17"/>
    <w:rsid w:val="4DD65315"/>
    <w:rsid w:val="51841B6C"/>
    <w:rsid w:val="530459F3"/>
    <w:rsid w:val="543438FB"/>
    <w:rsid w:val="54784C2C"/>
    <w:rsid w:val="557B5277"/>
    <w:rsid w:val="56816F5D"/>
    <w:rsid w:val="58682A7C"/>
    <w:rsid w:val="59B230A8"/>
    <w:rsid w:val="5BFE7BBD"/>
    <w:rsid w:val="5C001B87"/>
    <w:rsid w:val="5FE527FC"/>
    <w:rsid w:val="60B33BA4"/>
    <w:rsid w:val="60D036D8"/>
    <w:rsid w:val="614B38A4"/>
    <w:rsid w:val="62136792"/>
    <w:rsid w:val="626249B3"/>
    <w:rsid w:val="62991533"/>
    <w:rsid w:val="62AA3C95"/>
    <w:rsid w:val="645C455B"/>
    <w:rsid w:val="64F41586"/>
    <w:rsid w:val="65990ACD"/>
    <w:rsid w:val="695F3921"/>
    <w:rsid w:val="6B5E5B40"/>
    <w:rsid w:val="6CC22E69"/>
    <w:rsid w:val="6EE82C83"/>
    <w:rsid w:val="6EE963AA"/>
    <w:rsid w:val="70E94540"/>
    <w:rsid w:val="73381070"/>
    <w:rsid w:val="750D2421"/>
    <w:rsid w:val="75581C94"/>
    <w:rsid w:val="77650914"/>
    <w:rsid w:val="7A65612E"/>
    <w:rsid w:val="7B872167"/>
    <w:rsid w:val="7D834209"/>
    <w:rsid w:val="7EDC1B88"/>
    <w:rsid w:val="7F9E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qFormat="1" w:unhideWhenUsed="0" w:uiPriority="99" w:semiHidden="0" w:name="toc 1"/>
    <w:lsdException w:qFormat="1" w:unhideWhenUsed="0" w:uiPriority="9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qFormat="1" w:unhideWhenUsed="0" w:uiPriority="0" w:semiHidden="0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qFormat="1" w:unhideWhenUsed="0" w:uiPriority="99" w:semiHidden="0" w:name="Plain Text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0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00" w:lineRule="exact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9"/>
    <w:pPr>
      <w:keepNext/>
      <w:keepLines/>
      <w:spacing w:before="360" w:after="360" w:line="240" w:lineRule="auto"/>
      <w:ind w:firstLine="0" w:firstLineChars="0"/>
      <w:jc w:val="center"/>
      <w:outlineLvl w:val="0"/>
    </w:pPr>
    <w:rPr>
      <w:b/>
      <w:kern w:val="44"/>
      <w:sz w:val="48"/>
      <w:szCs w:val="44"/>
    </w:rPr>
  </w:style>
  <w:style w:type="paragraph" w:styleId="3">
    <w:name w:val="heading 2"/>
    <w:basedOn w:val="1"/>
    <w:next w:val="1"/>
    <w:link w:val="20"/>
    <w:qFormat/>
    <w:uiPriority w:val="99"/>
    <w:pPr>
      <w:keepNext/>
      <w:spacing w:line="240" w:lineRule="auto"/>
      <w:ind w:firstLine="709" w:firstLineChars="0"/>
      <w:jc w:val="center"/>
      <w:outlineLvl w:val="1"/>
    </w:pPr>
    <w:rPr>
      <w:b/>
      <w:sz w:val="36"/>
    </w:rPr>
  </w:style>
  <w:style w:type="paragraph" w:styleId="4">
    <w:name w:val="heading 3"/>
    <w:basedOn w:val="1"/>
    <w:next w:val="1"/>
    <w:link w:val="21"/>
    <w:qFormat/>
    <w:uiPriority w:val="99"/>
    <w:pPr>
      <w:keepNext/>
      <w:keepLines/>
      <w:spacing w:line="240" w:lineRule="auto"/>
      <w:ind w:left="1400" w:firstLine="591"/>
      <w:outlineLvl w:val="2"/>
    </w:pPr>
    <w:rPr>
      <w:b/>
      <w:bCs/>
      <w:sz w:val="30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link w:val="26"/>
    <w:qFormat/>
    <w:uiPriority w:val="99"/>
    <w:pPr>
      <w:spacing w:line="1200" w:lineRule="atLeast"/>
    </w:pPr>
    <w:rPr>
      <w:rFonts w:ascii="隶书" w:eastAsia="隶书"/>
      <w:sz w:val="44"/>
    </w:rPr>
  </w:style>
  <w:style w:type="paragraph" w:styleId="6">
    <w:name w:val="Body Text First Indent"/>
    <w:basedOn w:val="5"/>
    <w:qFormat/>
    <w:locked/>
    <w:uiPriority w:val="0"/>
    <w:pPr>
      <w:ind w:firstLine="420" w:firstLineChars="100"/>
    </w:pPr>
  </w:style>
  <w:style w:type="paragraph" w:styleId="7">
    <w:name w:val="Body Text Indent"/>
    <w:basedOn w:val="1"/>
    <w:link w:val="22"/>
    <w:qFormat/>
    <w:uiPriority w:val="99"/>
    <w:pPr>
      <w:ind w:firstLine="560"/>
    </w:pPr>
  </w:style>
  <w:style w:type="paragraph" w:styleId="8">
    <w:name w:val="Plain Text"/>
    <w:basedOn w:val="1"/>
    <w:link w:val="25"/>
    <w:qFormat/>
    <w:uiPriority w:val="99"/>
    <w:pPr>
      <w:spacing w:line="240" w:lineRule="auto"/>
      <w:ind w:firstLine="0" w:firstLineChars="0"/>
    </w:pPr>
    <w:rPr>
      <w:rFonts w:ascii="宋体" w:hAnsi="Courier New" w:eastAsia="仿宋_GB2312"/>
      <w:sz w:val="10"/>
      <w:szCs w:val="20"/>
    </w:rPr>
  </w:style>
  <w:style w:type="paragraph" w:styleId="9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0">
    <w:name w:val="header"/>
    <w:basedOn w:val="1"/>
    <w:link w:val="2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1">
    <w:name w:val="toc 1"/>
    <w:basedOn w:val="1"/>
    <w:next w:val="1"/>
    <w:qFormat/>
    <w:uiPriority w:val="99"/>
    <w:pPr>
      <w:tabs>
        <w:tab w:val="right" w:leader="dot" w:pos="9627"/>
      </w:tabs>
      <w:spacing w:line="480" w:lineRule="auto"/>
      <w:ind w:right="-53" w:firstLine="28" w:firstLineChars="10"/>
    </w:pPr>
    <w:rPr>
      <w:rFonts w:ascii="宋体" w:hAnsi="宋体"/>
      <w:szCs w:val="28"/>
    </w:rPr>
  </w:style>
  <w:style w:type="paragraph" w:styleId="12">
    <w:name w:val="toc 2"/>
    <w:basedOn w:val="1"/>
    <w:next w:val="1"/>
    <w:qFormat/>
    <w:uiPriority w:val="99"/>
    <w:pPr>
      <w:ind w:left="420" w:leftChars="200"/>
    </w:pPr>
  </w:style>
  <w:style w:type="paragraph" w:styleId="13">
    <w:name w:val="Normal (Web)"/>
    <w:basedOn w:val="1"/>
    <w:qFormat/>
    <w:uiPriority w:val="99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/>
      <w:kern w:val="0"/>
      <w:sz w:val="24"/>
      <w:szCs w:val="20"/>
    </w:rPr>
  </w:style>
  <w:style w:type="character" w:styleId="16">
    <w:name w:val="page number"/>
    <w:qFormat/>
    <w:uiPriority w:val="99"/>
    <w:rPr>
      <w:rFonts w:cs="Times New Roman"/>
    </w:rPr>
  </w:style>
  <w:style w:type="character" w:styleId="17">
    <w:name w:val="Hyperlink"/>
    <w:qFormat/>
    <w:uiPriority w:val="99"/>
    <w:rPr>
      <w:rFonts w:cs="Times New Roman"/>
      <w:color w:val="0000FF"/>
      <w:u w:val="single"/>
    </w:rPr>
  </w:style>
  <w:style w:type="paragraph" w:customStyle="1" w:styleId="18">
    <w:name w:val="BodyText"/>
    <w:basedOn w:val="1"/>
    <w:qFormat/>
    <w:uiPriority w:val="0"/>
    <w:pPr>
      <w:spacing w:line="700" w:lineRule="exact"/>
    </w:pPr>
    <w:rPr>
      <w:rFonts w:eastAsia="方正小标宋简体"/>
      <w:sz w:val="36"/>
    </w:rPr>
  </w:style>
  <w:style w:type="character" w:customStyle="1" w:styleId="19">
    <w:name w:val="标题 1 Char"/>
    <w:link w:val="2"/>
    <w:qFormat/>
    <w:locked/>
    <w:uiPriority w:val="99"/>
    <w:rPr>
      <w:rFonts w:cs="Times New Roman"/>
      <w:b/>
      <w:bCs/>
      <w:kern w:val="44"/>
      <w:sz w:val="44"/>
      <w:szCs w:val="44"/>
    </w:rPr>
  </w:style>
  <w:style w:type="character" w:customStyle="1" w:styleId="20">
    <w:name w:val="标题 2 Char"/>
    <w:link w:val="3"/>
    <w:qFormat/>
    <w:locked/>
    <w:uiPriority w:val="99"/>
    <w:rPr>
      <w:rFonts w:eastAsia="宋体" w:cs="Times New Roman"/>
      <w:b/>
      <w:kern w:val="2"/>
      <w:sz w:val="24"/>
      <w:szCs w:val="24"/>
      <w:lang w:val="en-US" w:eastAsia="zh-CN" w:bidi="ar-SA"/>
    </w:rPr>
  </w:style>
  <w:style w:type="character" w:customStyle="1" w:styleId="21">
    <w:name w:val="标题 3 Char"/>
    <w:link w:val="4"/>
    <w:semiHidden/>
    <w:qFormat/>
    <w:locked/>
    <w:uiPriority w:val="99"/>
    <w:rPr>
      <w:rFonts w:cs="Times New Roman"/>
      <w:b/>
      <w:bCs/>
      <w:sz w:val="32"/>
      <w:szCs w:val="32"/>
    </w:rPr>
  </w:style>
  <w:style w:type="character" w:customStyle="1" w:styleId="22">
    <w:name w:val="正文文本缩进 Char"/>
    <w:link w:val="7"/>
    <w:semiHidden/>
    <w:qFormat/>
    <w:locked/>
    <w:uiPriority w:val="99"/>
    <w:rPr>
      <w:rFonts w:cs="Times New Roman"/>
      <w:sz w:val="24"/>
      <w:szCs w:val="24"/>
    </w:rPr>
  </w:style>
  <w:style w:type="character" w:customStyle="1" w:styleId="23">
    <w:name w:val="页眉 Char"/>
    <w:link w:val="10"/>
    <w:semiHidden/>
    <w:qFormat/>
    <w:locked/>
    <w:uiPriority w:val="99"/>
    <w:rPr>
      <w:rFonts w:cs="Times New Roman"/>
      <w:sz w:val="18"/>
      <w:szCs w:val="18"/>
    </w:rPr>
  </w:style>
  <w:style w:type="character" w:customStyle="1" w:styleId="24">
    <w:name w:val="页脚 Char"/>
    <w:link w:val="9"/>
    <w:semiHidden/>
    <w:qFormat/>
    <w:locked/>
    <w:uiPriority w:val="99"/>
    <w:rPr>
      <w:rFonts w:cs="Times New Roman"/>
      <w:sz w:val="18"/>
      <w:szCs w:val="18"/>
    </w:rPr>
  </w:style>
  <w:style w:type="character" w:customStyle="1" w:styleId="25">
    <w:name w:val="纯文本 Char"/>
    <w:link w:val="8"/>
    <w:semiHidden/>
    <w:qFormat/>
    <w:locked/>
    <w:uiPriority w:val="99"/>
    <w:rPr>
      <w:rFonts w:ascii="宋体" w:hAnsi="Courier New" w:cs="Courier New"/>
      <w:sz w:val="21"/>
      <w:szCs w:val="21"/>
    </w:rPr>
  </w:style>
  <w:style w:type="character" w:customStyle="1" w:styleId="26">
    <w:name w:val="正文文本 Char"/>
    <w:link w:val="5"/>
    <w:semiHidden/>
    <w:qFormat/>
    <w:locked/>
    <w:uiPriority w:val="99"/>
    <w:rPr>
      <w:rFonts w:cs="Times New Roman"/>
      <w:sz w:val="24"/>
      <w:szCs w:val="24"/>
    </w:rPr>
  </w:style>
  <w:style w:type="paragraph" w:customStyle="1" w:styleId="27">
    <w:name w:val="默认段落字体 Para Char Char Char Char"/>
    <w:basedOn w:val="1"/>
    <w:qFormat/>
    <w:uiPriority w:val="99"/>
    <w:pPr>
      <w:spacing w:line="240" w:lineRule="auto"/>
      <w:ind w:firstLine="0" w:firstLineChars="0"/>
    </w:pPr>
    <w:rPr>
      <w:sz w:val="21"/>
      <w:szCs w:val="20"/>
    </w:rPr>
  </w:style>
  <w:style w:type="paragraph" w:customStyle="1" w:styleId="28">
    <w:name w:val="样式11"/>
    <w:basedOn w:val="1"/>
    <w:qFormat/>
    <w:uiPriority w:val="99"/>
    <w:pPr>
      <w:spacing w:beforeLines="50" w:afterLines="50"/>
    </w:pPr>
    <w:rPr>
      <w:rFonts w:eastAsia="黑体"/>
      <w:color w:val="000000"/>
      <w:szCs w:val="20"/>
    </w:rPr>
  </w:style>
  <w:style w:type="paragraph" w:styleId="29">
    <w:name w:val="List Paragraph"/>
    <w:basedOn w:val="1"/>
    <w:qFormat/>
    <w:uiPriority w:val="99"/>
    <w:pPr>
      <w:ind w:firstLine="420"/>
    </w:pPr>
  </w:style>
  <w:style w:type="paragraph" w:customStyle="1" w:styleId="30">
    <w:name w:val="正文 A"/>
    <w:next w:val="5"/>
    <w:qFormat/>
    <w:uiPriority w:val="0"/>
    <w:rPr>
      <w:rFonts w:hint="eastAsia" w:ascii="Arial Unicode MS" w:hAnsi="Arial Unicode MS" w:eastAsia="Times New Roman" w:cs="Arial Unicode MS"/>
      <w:color w:val="000000"/>
      <w:sz w:val="24"/>
      <w:szCs w:val="24"/>
      <w:u w:color="000000"/>
      <w:lang w:val="en-US" w:eastAsia="zh-CN" w:bidi="ar-SA"/>
    </w:rPr>
  </w:style>
  <w:style w:type="paragraph" w:customStyle="1" w:styleId="31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3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3305</Words>
  <Characters>4198</Characters>
  <Lines>12</Lines>
  <Paragraphs>3</Paragraphs>
  <TotalTime>9</TotalTime>
  <ScaleCrop>false</ScaleCrop>
  <LinksUpToDate>false</LinksUpToDate>
  <CharactersWithSpaces>4388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2017-10-23T10:01:00Z</dcterms:created>
  <dc:creator>Administrator</dc:creator>
  <cp:lastModifiedBy>执笔画余生.</cp:lastModifiedBy>
  <cp:lastPrinted>2023-02-09T07:05:00Z</cp:lastPrinted>
  <dcterms:modified xsi:type="dcterms:W3CDTF">2026-03-13T03:46:25Z</dcterms:modified>
  <dc:title>竞争性谈判文件</dc:title>
  <cp:revision>80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3D347868DBFB4DBFA17098DE7C063067_13</vt:lpwstr>
  </property>
  <property fmtid="{D5CDD505-2E9C-101B-9397-08002B2CF9AE}" pid="4" name="KSOTemplateDocerSaveRecord">
    <vt:lpwstr>eyJoZGlkIjoiMTg0NjM5MTNmZTkyZGU5YmUzODRmODZlYTE5NGI0NDciLCJ1c2VySWQiOiIzNjQ0OTYwMTIifQ==</vt:lpwstr>
  </property>
</Properties>
</file>